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left="0" w:right="0" w:hanging="0"/>
        <w:jc w:val="left"/>
        <w:rPr/>
      </w:pPr>
      <w:r>
        <w:rPr>
          <w:b/>
          <w:bCs/>
          <w:sz w:val="28"/>
          <w:szCs w:val="28"/>
        </w:rPr>
        <w:t>Pressemitteilung</w:t>
      </w:r>
    </w:p>
    <w:p>
      <w:pPr>
        <w:pStyle w:val="Normal"/>
        <w:widowControl/>
        <w:suppressAutoHyphens w:val="true"/>
        <w:bidi w:val="0"/>
        <w:spacing w:before="0" w:after="0"/>
        <w:ind w:left="0" w:right="0" w:hanging="0"/>
        <w:jc w:val="left"/>
        <w:rPr>
          <w:sz w:val="24"/>
          <w:szCs w:val="26"/>
        </w:rPr>
      </w:pPr>
      <w:r>
        <w:rPr>
          <w:sz w:val="24"/>
          <w:szCs w:val="26"/>
        </w:rPr>
        <w:t>26. Januar 2022</w:t>
      </w:r>
    </w:p>
    <w:p>
      <w:pPr>
        <w:pStyle w:val="Normal"/>
        <w:rPr>
          <w:b/>
          <w:b/>
          <w:bCs/>
        </w:rPr>
      </w:pPr>
      <w:r>
        <w:rPr>
          <w:b/>
          <w:bCs/>
        </w:rPr>
      </w:r>
    </w:p>
    <w:p>
      <w:pPr>
        <w:pStyle w:val="Normal"/>
        <w:widowControl/>
        <w:suppressAutoHyphens w:val="true"/>
        <w:bidi w:val="0"/>
        <w:spacing w:before="0" w:after="0"/>
        <w:ind w:left="0" w:right="1134" w:hanging="0"/>
        <w:jc w:val="left"/>
        <w:rPr/>
      </w:pPr>
      <w:r>
        <w:rPr>
          <w:b/>
          <w:bCs/>
        </w:rPr>
        <w:t>Europäische Fräsdienstleister verzeichnen dramatische Preiserhöhungen bei Kraftstoffen und Spezialwerkzeugen</w:t>
      </w:r>
    </w:p>
    <w:p>
      <w:pPr>
        <w:pStyle w:val="Normal"/>
        <w:widowControl/>
        <w:suppressAutoHyphens w:val="true"/>
        <w:bidi w:val="0"/>
        <w:spacing w:before="0" w:after="0"/>
        <w:ind w:left="0" w:right="850" w:hanging="0"/>
        <w:jc w:val="left"/>
        <w:rPr>
          <w:b/>
          <w:b/>
          <w:bCs/>
        </w:rPr>
      </w:pPr>
      <w:r>
        <w:rPr>
          <w:b/>
          <w:bCs/>
        </w:rPr>
      </w:r>
    </w:p>
    <w:p>
      <w:pPr>
        <w:pStyle w:val="Normal"/>
        <w:widowControl/>
        <w:suppressAutoHyphens w:val="true"/>
        <w:bidi w:val="0"/>
        <w:spacing w:before="0" w:after="0"/>
        <w:ind w:left="0" w:right="1134" w:hanging="0"/>
        <w:jc w:val="left"/>
        <w:rPr>
          <w:i/>
          <w:i/>
          <w:iCs/>
        </w:rPr>
      </w:pPr>
      <w:r>
        <w:rPr>
          <w:i/>
          <w:iCs/>
        </w:rPr>
        <w:t>Der Abtrag sanierungsbedürftiger Fahrbahnen erfolgt schnell und sicher mit hochwertigen Spezialmaschinen, den Kaltfräsen. Darum wird das Gewerk in der Regel von speziellen Fräsdienstleistern ausgeführt, die als Subunternehmer der Bauunternehmungen arbeiten. Der VESF e.V. (Verband Europäischer Straßenfräsunternehmungen) weist darauf hin, dass die Fräsdienstleister derzeit unter enormen wirtschaftlichen Druck geraten. Grund sind die merklich gestiegenen Rohstoffpreise: Neben dem allseits bekannten steigenden Kosten für Diesel-Kraftstoff, belasten auch steigende Preise für die Spezial-Werkzeuge, sogenannte Fräsmeißel, die Unternehmen.</w:t>
      </w:r>
    </w:p>
    <w:p>
      <w:pPr>
        <w:pStyle w:val="Normal"/>
        <w:widowControl/>
        <w:suppressAutoHyphens w:val="true"/>
        <w:bidi w:val="0"/>
        <w:spacing w:before="0" w:after="0"/>
        <w:ind w:left="0" w:right="1134" w:hanging="0"/>
        <w:jc w:val="left"/>
        <w:rPr/>
      </w:pPr>
      <w:r>
        <w:rPr/>
      </w:r>
    </w:p>
    <w:p>
      <w:pPr>
        <w:pStyle w:val="Normal"/>
        <w:widowControl/>
        <w:suppressAutoHyphens w:val="true"/>
        <w:bidi w:val="0"/>
        <w:spacing w:before="0" w:after="0"/>
        <w:ind w:left="0" w:right="1134" w:hanging="0"/>
        <w:jc w:val="left"/>
        <w:rPr/>
      </w:pPr>
      <w:r>
        <w:rPr/>
        <w:t>Der Löwenanteil der Betriebskostensteigerungen wird verursacht durch den anhaltenden Höhenflug der Dieselpreise – und das, obwohl die Unternehmen bereits seit Jahren in sparsamere Technik investieren. Dazu kommt eine Kostensteigerung bei den hoch temperaturbeständigen und verschleißfesten Spezial-Werkzeugen, die beim 3-4-fachen der Inflationsrate in der EU liegt. Je nach Maschinentyp und Baustellen-Anforderungen sind zwischen 50 und 1.000 Meißel in einer Maschine verbaut. Sie müssen in der Regel mehrmals pro Woche getauscht werden.</w:t>
      </w:r>
    </w:p>
    <w:p>
      <w:pPr>
        <w:pStyle w:val="Normal"/>
        <w:widowControl/>
        <w:suppressAutoHyphens w:val="true"/>
        <w:bidi w:val="0"/>
        <w:spacing w:before="0" w:after="0"/>
        <w:ind w:left="0" w:right="1134" w:hanging="0"/>
        <w:jc w:val="left"/>
        <w:rPr/>
      </w:pPr>
      <w:r>
        <w:rPr/>
      </w:r>
    </w:p>
    <w:p>
      <w:pPr>
        <w:pStyle w:val="Normal"/>
        <w:widowControl/>
        <w:suppressAutoHyphens w:val="true"/>
        <w:bidi w:val="0"/>
        <w:spacing w:before="0" w:after="0"/>
        <w:ind w:left="0" w:right="1134" w:hanging="0"/>
        <w:jc w:val="left"/>
        <w:rPr/>
      </w:pPr>
      <w:r>
        <w:rPr/>
        <w:t>Allgemeine gestiegene Sicherheitsanforderungen, höhere Löhne und Anschaffungspreise tragen ihr Übriges zur Kostensteigerung bei. Schlussendlich verzeichnet der VESF zu Beginn des Jahres 2022 eine Erhöhung der Kosten von rund 15 – 18 % gegenüber den mittleren Preisen aus 2019. Bezogen auf die verschiedenen Maschinenklassen beziffert der Fräsverband die Preissteigerungen auf rund 15 % bei den Klein- und Kompaktfräsen. Bei den Großfräsen fällt die Steigerung mit knapp 18 % wegen der nötigen hohen Motorleistungen und dem damit verbundenen Kraftstoffverbrauch nochmal stärker aus. „Wir müssen aufgrund dieser Entwicklung leider die Kostensteigerungen an unsere Auftraggeber weitergeben“, bedauert Torsten Meyer, 1. Vorsitzender des VESF, diese Situation. Er hofft aber auf das Verständnis der Kunden: „Wir müssen diesen Schritt gehen, um auch künftig die Fräsarbeiten in der gewohnten Qualität und der gewohnt hohen Geschwindigkeit ausführen zu können.“</w:t>
      </w:r>
    </w:p>
    <w:p>
      <w:pPr>
        <w:pStyle w:val="Normal"/>
        <w:widowControl/>
        <w:suppressAutoHyphens w:val="true"/>
        <w:bidi w:val="0"/>
        <w:spacing w:before="0" w:after="0"/>
        <w:ind w:left="0" w:right="567" w:hanging="0"/>
        <w:jc w:val="left"/>
        <w:rPr/>
      </w:pPr>
      <w:r>
        <w:rPr/>
      </w:r>
    </w:p>
    <w:p>
      <w:pPr>
        <w:pStyle w:val="Normal"/>
        <w:widowControl/>
        <w:suppressAutoHyphens w:val="true"/>
        <w:bidi w:val="0"/>
        <w:spacing w:before="0" w:after="0"/>
        <w:ind w:left="0" w:right="567" w:hanging="0"/>
        <w:jc w:val="left"/>
        <w:rPr/>
      </w:pPr>
      <w:r>
        <w:rPr/>
      </w:r>
    </w:p>
    <w:p>
      <w:pPr>
        <w:pStyle w:val="Normal"/>
        <w:rPr/>
      </w:pPr>
      <w:r>
        <w:rPr/>
      </w:r>
    </w:p>
    <w:p>
      <w:pPr>
        <w:pStyle w:val="Normal"/>
        <w:widowControl/>
        <w:suppressAutoHyphens w:val="true"/>
        <w:bidi w:val="0"/>
        <w:spacing w:before="0" w:after="0"/>
        <w:ind w:left="0" w:right="0" w:hanging="0"/>
        <w:jc w:val="left"/>
        <w:rPr/>
      </w:pPr>
      <w:r>
        <w:rPr>
          <w:b/>
        </w:rPr>
        <w:t>Kontakt:</w:t>
      </w:r>
    </w:p>
    <w:p>
      <w:pPr>
        <w:pStyle w:val="Normal"/>
        <w:widowControl/>
        <w:suppressAutoHyphens w:val="true"/>
        <w:bidi w:val="0"/>
        <w:spacing w:before="0" w:after="0"/>
        <w:ind w:left="0" w:right="0" w:hanging="0"/>
        <w:jc w:val="left"/>
        <w:rPr/>
      </w:pPr>
      <w:r>
        <w:rPr/>
        <w:t>VESF e.V.</w:t>
      </w:r>
    </w:p>
    <w:p>
      <w:pPr>
        <w:pStyle w:val="Normal"/>
        <w:widowControl/>
        <w:suppressAutoHyphens w:val="true"/>
        <w:bidi w:val="0"/>
        <w:spacing w:before="0" w:after="0"/>
        <w:ind w:left="0" w:right="0" w:hanging="0"/>
        <w:jc w:val="left"/>
        <w:rPr/>
      </w:pPr>
      <w:r>
        <w:rPr/>
        <w:t>Verband Europäischer Straßenfräsunternehmungen e.V.</w:t>
      </w:r>
    </w:p>
    <w:p>
      <w:pPr>
        <w:pStyle w:val="Normal"/>
        <w:widowControl/>
        <w:suppressAutoHyphens w:val="true"/>
        <w:bidi w:val="0"/>
        <w:spacing w:before="0" w:after="0"/>
        <w:ind w:left="0" w:right="0" w:hanging="0"/>
        <w:jc w:val="left"/>
        <w:rPr/>
      </w:pPr>
      <w:r>
        <w:rPr/>
        <w:t>Ringstraße 21</w:t>
      </w:r>
    </w:p>
    <w:p>
      <w:pPr>
        <w:pStyle w:val="Normal"/>
        <w:widowControl/>
        <w:suppressAutoHyphens w:val="true"/>
        <w:bidi w:val="0"/>
        <w:spacing w:before="0" w:after="0"/>
        <w:ind w:left="0" w:right="0" w:hanging="0"/>
        <w:jc w:val="left"/>
        <w:rPr/>
      </w:pPr>
      <w:r>
        <w:rPr/>
        <w:t>56651 Niederdürenbach</w:t>
      </w:r>
    </w:p>
    <w:p>
      <w:pPr>
        <w:pStyle w:val="Normal"/>
        <w:widowControl/>
        <w:suppressAutoHyphens w:val="true"/>
        <w:bidi w:val="0"/>
        <w:spacing w:before="0" w:after="0"/>
        <w:ind w:left="0" w:right="0" w:hanging="0"/>
        <w:jc w:val="left"/>
        <w:rPr/>
      </w:pPr>
      <w:r>
        <w:rPr/>
        <w:t>Deutschland</w:t>
      </w:r>
    </w:p>
    <w:p>
      <w:pPr>
        <w:pStyle w:val="Normal"/>
        <w:widowControl/>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t>Web:</w:t>
        <w:tab/>
        <w:t>www.vesf-ev.com</w:t>
      </w:r>
    </w:p>
    <w:p>
      <w:pPr>
        <w:pStyle w:val="Normal"/>
        <w:widowControl/>
        <w:suppressAutoHyphens w:val="true"/>
        <w:bidi w:val="0"/>
        <w:spacing w:before="0" w:after="0"/>
        <w:ind w:left="0" w:right="0" w:hanging="0"/>
        <w:jc w:val="left"/>
        <w:rPr/>
      </w:pPr>
      <w:r>
        <w:rPr/>
        <w:t>Tel:</w:t>
        <w:tab/>
        <w:t>+49 2636 9419 118</w:t>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r>
        <w:br w:type="page"/>
      </w:r>
    </w:p>
    <w:p>
      <w:pPr>
        <w:pStyle w:val="Normal"/>
        <w:widowControl/>
        <w:suppressAutoHyphens w:val="true"/>
        <w:bidi w:val="0"/>
        <w:spacing w:before="0" w:after="0"/>
        <w:ind w:left="0" w:right="850" w:hanging="0"/>
        <w:jc w:val="left"/>
        <w:rPr>
          <w:b/>
          <w:b/>
          <w:bCs/>
        </w:rPr>
      </w:pPr>
      <w:r>
        <w:rPr>
          <w:b/>
          <w:bCs/>
        </w:rPr>
        <w:t>Bilder</w:t>
      </w:r>
    </w:p>
    <w:p>
      <w:pPr>
        <w:pStyle w:val="Normal"/>
        <w:widowControl/>
        <w:suppressAutoHyphens w:val="true"/>
        <w:bidi w:val="0"/>
        <w:spacing w:before="0" w:after="0"/>
        <w:ind w:left="0" w:right="850" w:hanging="0"/>
        <w:jc w:val="left"/>
        <w:rPr/>
      </w:pPr>
      <w:r>
        <w:rPr/>
      </w:r>
    </w:p>
    <w:tbl>
      <w:tblPr>
        <w:tblW w:w="5000" w:type="pct"/>
        <w:jc w:val="left"/>
        <w:tblInd w:w="57" w:type="dxa"/>
        <w:tblLayout w:type="fixed"/>
        <w:tblCellMar>
          <w:top w:w="57" w:type="dxa"/>
          <w:left w:w="57" w:type="dxa"/>
          <w:bottom w:w="57" w:type="dxa"/>
          <w:right w:w="57" w:type="dxa"/>
        </w:tblCellMar>
      </w:tblPr>
      <w:tblGrid>
        <w:gridCol w:w="4819"/>
        <w:gridCol w:w="4819"/>
      </w:tblGrid>
      <w:tr>
        <w:trPr/>
        <w:tc>
          <w:tcPr>
            <w:tcW w:w="4819" w:type="dxa"/>
            <w:tcBorders>
              <w:top w:val="single" w:sz="2" w:space="0" w:color="000000"/>
              <w:left w:val="single" w:sz="2" w:space="0" w:color="000000"/>
              <w:bottom w:val="single" w:sz="2" w:space="0" w:color="000000"/>
            </w:tcBorders>
          </w:tcPr>
          <w:p>
            <w:pPr>
              <w:pStyle w:val="Tabelleninhalt"/>
              <w:rPr/>
            </w:pPr>
            <w:r>
              <w:rPr/>
              <w:drawing>
                <wp:inline distT="0" distB="0" distL="0" distR="0">
                  <wp:extent cx="2527300" cy="2017395"/>
                  <wp:effectExtent l="0" t="0" r="0" b="0"/>
                  <wp:docPr id="1"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descr=""/>
                          <pic:cNvPicPr>
                            <a:picLocks noChangeAspect="1" noChangeArrowheads="1"/>
                          </pic:cNvPicPr>
                        </pic:nvPicPr>
                        <pic:blipFill>
                          <a:blip r:embed="rId2"/>
                          <a:stretch>
                            <a:fillRect/>
                          </a:stretch>
                        </pic:blipFill>
                        <pic:spPr bwMode="auto">
                          <a:xfrm>
                            <a:off x="0" y="0"/>
                            <a:ext cx="2527300" cy="2017395"/>
                          </a:xfrm>
                          <a:prstGeom prst="rect">
                            <a:avLst/>
                          </a:prstGeom>
                        </pic:spPr>
                      </pic:pic>
                    </a:graphicData>
                  </a:graphic>
                </wp:inline>
              </w:drawing>
            </w:r>
          </w:p>
        </w:tc>
        <w:tc>
          <w:tcPr>
            <w:tcW w:w="4819"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bidi w:val="0"/>
              <w:spacing w:before="0" w:after="0"/>
              <w:ind w:left="0" w:right="0" w:hanging="0"/>
              <w:jc w:val="left"/>
              <w:rPr/>
            </w:pPr>
            <w:r>
              <w:rPr/>
              <w:t>Der VESF verweist auf die stark gestiegenen Betriebskosten. Die Effekte wirken sich besonders bei den Großfräsen aus.</w:t>
            </w:r>
          </w:p>
          <w:p>
            <w:pPr>
              <w:pStyle w:val="Normal"/>
              <w:widowControl/>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t>Grafik: VESF</w:t>
            </w:r>
          </w:p>
        </w:tc>
      </w:tr>
    </w:tbl>
    <w:p>
      <w:pPr>
        <w:pStyle w:val="Normal"/>
        <w:widowControl/>
        <w:suppressAutoHyphens w:val="true"/>
        <w:bidi w:val="0"/>
        <w:spacing w:before="0" w:after="0"/>
        <w:ind w:left="0" w:right="850" w:hanging="0"/>
        <w:jc w:val="left"/>
        <w:rPr/>
      </w:pPr>
      <w:r>
        <w:rPr/>
      </w:r>
    </w:p>
    <w:sectPr>
      <w:headerReference w:type="default" r:id="rId3"/>
      <w:footerReference w:type="default" r:id="rId4"/>
      <w:type w:val="nextPage"/>
      <w:pgSz w:w="11906" w:h="16838"/>
      <w:pgMar w:left="1134" w:right="1134" w:gutter="0" w:header="397" w:top="2036" w:footer="291" w:bottom="107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OpenSymbol">
    <w:altName w:val="Arial Unicode MS"/>
    <w:charset w:val="01"/>
    <w:family w:val="swiss"/>
    <w:pitch w:val="default"/>
  </w:font>
  <w:font w:name="Tahoma">
    <w:charset w:val="01"/>
    <w:family w:val="swiss"/>
    <w:pitch w:val="default"/>
  </w:font>
  <w:font w:name="Bitstream Vera Sans">
    <w:charset w:val="01"/>
    <w:family w:val="swiss"/>
    <w:pitch w:val="default"/>
  </w:font>
  <w:font w:name="Verdana">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4" w:space="5" w:color="000000"/>
      </w:pBdr>
      <w:tabs>
        <w:tab w:val="clear" w:pos="4536"/>
        <w:tab w:val="clear" w:pos="9072"/>
        <w:tab w:val="center" w:pos="4819" w:leader="none"/>
        <w:tab w:val="right" w:pos="9356" w:leader="none"/>
        <w:tab w:val="right" w:pos="13467" w:leader="none"/>
      </w:tabs>
      <w:spacing w:lineRule="auto" w:line="276"/>
      <w:jc w:val="center"/>
      <w:rPr/>
    </w:pPr>
    <w:r>
      <w:rPr>
        <w:rFonts w:cs="Arial"/>
        <w:sz w:val="16"/>
        <w:szCs w:val="16"/>
      </w:rPr>
      <w:t>VESF // PM Kostenentwicklung 01/2022</w:t>
      <w:tab/>
      <w:tab/>
      <w:t xml:space="preserve">Seite </w:t>
    </w:r>
    <w:r>
      <w:rPr>
        <w:rFonts w:cs="Arial"/>
        <w:sz w:val="16"/>
        <w:szCs w:val="16"/>
      </w:rPr>
      <w:fldChar w:fldCharType="begin"/>
    </w:r>
    <w:r>
      <w:rPr>
        <w:sz w:val="16"/>
        <w:szCs w:val="16"/>
        <w:rFonts w:cs="Arial"/>
      </w:rPr>
      <w:instrText xml:space="preserve"> PAGE </w:instrText>
    </w:r>
    <w:r>
      <w:rPr>
        <w:sz w:val="16"/>
        <w:szCs w:val="16"/>
        <w:rFonts w:cs="Arial"/>
      </w:rPr>
      <w:fldChar w:fldCharType="separate"/>
    </w:r>
    <w:r>
      <w:rPr>
        <w:sz w:val="16"/>
        <w:szCs w:val="16"/>
        <w:rFonts w:cs="Arial"/>
      </w:rPr>
      <w:t>2</w:t>
    </w:r>
    <w:r>
      <w:rPr>
        <w:sz w:val="16"/>
        <w:szCs w:val="16"/>
        <w:rFonts w:cs="Arial"/>
      </w:rPr>
      <w:fldChar w:fldCharType="end"/>
    </w:r>
    <w:r>
      <w:rPr>
        <w:rFonts w:cs="Arial"/>
        <w:sz w:val="16"/>
        <w:szCs w:val="16"/>
      </w:rPr>
      <w:t xml:space="preserve"> von </w:t>
    </w:r>
    <w:r>
      <w:rPr>
        <w:rFonts w:cs="Arial"/>
        <w:sz w:val="16"/>
        <w:szCs w:val="16"/>
      </w:rPr>
      <w:fldChar w:fldCharType="begin"/>
    </w:r>
    <w:r>
      <w:rPr>
        <w:sz w:val="16"/>
        <w:szCs w:val="16"/>
        <w:rFonts w:cs="Arial"/>
      </w:rPr>
      <w:instrText xml:space="preserve"> NUMPAGES </w:instrText>
    </w:r>
    <w:r>
      <w:rPr>
        <w:sz w:val="16"/>
        <w:szCs w:val="16"/>
        <w:rFonts w:cs="Arial"/>
      </w:rPr>
      <w:fldChar w:fldCharType="separate"/>
    </w:r>
    <w:r>
      <w:rPr>
        <w:sz w:val="16"/>
        <w:szCs w:val="16"/>
        <w:rFonts w:cs="Arial"/>
      </w:rPr>
      <w:t>2</w:t>
    </w:r>
    <w:r>
      <w:rPr>
        <w:sz w:val="16"/>
        <w:szCs w:val="16"/>
        <w:rFonts w:cs="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left" w:pos="5944" w:leader="none"/>
      </w:tabs>
      <w:rPr>
        <w:rFonts w:ascii="Bitstream Vera Sans" w:hAnsi="Bitstream Vera Sans" w:eastAsia="Andale Sans UI;Arial Unicode MS" w:cs="Bitstream Vera Sans"/>
        <w:b/>
        <w:b/>
        <w:bCs/>
        <w:color w:val="3865CC"/>
        <w:sz w:val="28"/>
        <w:szCs w:val="28"/>
        <w:lang w:eastAsia="de-DE" w:bidi="de-DE"/>
      </w:rPr>
    </w:pPr>
    <w:r>
      <w:rPr>
        <w:rFonts w:eastAsia="Andale Sans UI;Arial Unicode MS" w:cs="Bitstream Vera Sans" w:ascii="Bitstream Vera Sans" w:hAnsi="Bitstream Vera Sans"/>
        <w:b/>
        <w:bCs/>
        <w:color w:val="3865CC"/>
        <w:sz w:val="28"/>
        <w:szCs w:val="28"/>
        <w:lang w:eastAsia="de-DE" w:bidi="de-DE"/>
      </w:rPr>
    </w:r>
  </w:p>
  <w:p>
    <w:pPr>
      <w:pStyle w:val="Normal"/>
      <w:widowControl w:val="false"/>
      <w:tabs>
        <w:tab w:val="clear" w:pos="720"/>
        <w:tab w:val="left" w:pos="5944" w:leader="none"/>
      </w:tabs>
      <w:rPr>
        <w:rFonts w:ascii="Verdana" w:hAnsi="Verdana"/>
      </w:rPr>
    </w:pPr>
    <w:r>
      <w:drawing>
        <wp:anchor behindDoc="1" distT="0" distB="0" distL="0" distR="0" simplePos="0" locked="0" layoutInCell="0" allowOverlap="1" relativeHeight="3">
          <wp:simplePos x="0" y="0"/>
          <wp:positionH relativeFrom="column">
            <wp:posOffset>4099560</wp:posOffset>
          </wp:positionH>
          <wp:positionV relativeFrom="paragraph">
            <wp:posOffset>635</wp:posOffset>
          </wp:positionV>
          <wp:extent cx="1924050" cy="419100"/>
          <wp:effectExtent l="0" t="0" r="0" b="0"/>
          <wp:wrapNone/>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1"/>
                  <a:srcRect l="-15" t="-71" r="-15" b="-71"/>
                  <a:stretch>
                    <a:fillRect/>
                  </a:stretch>
                </pic:blipFill>
                <pic:spPr bwMode="auto">
                  <a:xfrm>
                    <a:off x="0" y="0"/>
                    <a:ext cx="1924050" cy="419100"/>
                  </a:xfrm>
                  <a:prstGeom prst="rect">
                    <a:avLst/>
                  </a:prstGeom>
                </pic:spPr>
              </pic:pic>
            </a:graphicData>
          </a:graphic>
        </wp:anchor>
      </w:drawing>
    </w:r>
    <w:r>
      <w:rPr>
        <w:rFonts w:eastAsia="Andale Sans UI;Arial Unicode MS" w:cs="Bitstream Vera Sans" w:ascii="Verdana" w:hAnsi="Verdana"/>
        <w:b/>
        <w:bCs/>
        <w:color w:val="3865CC"/>
        <w:sz w:val="28"/>
        <w:szCs w:val="28"/>
        <w:lang w:eastAsia="de-DE" w:bidi="de-DE"/>
      </w:rPr>
      <w:t>Verband Europäischer</w:t>
    </w:r>
  </w:p>
  <w:p>
    <w:pPr>
      <w:pStyle w:val="Normal"/>
      <w:rPr>
        <w:rFonts w:ascii="Verdana" w:hAnsi="Verdana"/>
      </w:rPr>
    </w:pPr>
    <w:r>
      <w:rPr>
        <w:rFonts w:eastAsia="Andale Sans UI;Arial Unicode MS" w:cs="Bitstream Vera Sans" w:ascii="Verdana" w:hAnsi="Verdana"/>
        <w:b/>
        <w:bCs/>
        <w:color w:val="3865CC"/>
        <w:sz w:val="28"/>
        <w:szCs w:val="28"/>
        <w:lang w:eastAsia="de-DE" w:bidi="de-DE"/>
      </w:rPr>
      <w:t>Straßenfräsunternehmungen</w:t>
    </w:r>
    <w:r>
      <w:rPr>
        <w:rFonts w:eastAsia="Bitstream Vera Sans" w:cs="Bitstream Vera Sans" w:ascii="Verdana" w:hAnsi="Verdana"/>
        <w:b/>
        <w:bCs/>
        <w:color w:val="3865CC"/>
        <w:sz w:val="28"/>
        <w:szCs w:val="28"/>
        <w:lang w:eastAsia="de-DE" w:bidi="de-DE"/>
      </w:rPr>
      <w:t xml:space="preserve"> </w:t>
    </w:r>
    <w:r>
      <w:rPr>
        <w:rFonts w:cs="Bitstream Vera Sans" w:ascii="Verdana" w:hAnsi="Verdana"/>
        <w:b/>
        <w:bCs/>
        <w:color w:val="3865CC"/>
        <w:sz w:val="28"/>
        <w:szCs w:val="28"/>
        <w:lang w:eastAsia="de-DE" w:bidi="de-DE"/>
      </w:rPr>
      <w:t>e.V.</w:t>
    </w:r>
  </w:p>
  <w:p>
    <w:pPr>
      <w:pStyle w:val="Normal"/>
      <w:rPr>
        <w:rFonts w:ascii="Bitstream Vera Sans" w:hAnsi="Bitstream Vera Sans" w:cs="Bitstream Vera Sans"/>
        <w:b/>
        <w:b/>
        <w:bCs/>
        <w:color w:val="3865CC"/>
        <w:sz w:val="28"/>
        <w:szCs w:val="28"/>
        <w:lang w:eastAsia="de-DE" w:bidi="de-DE"/>
      </w:rPr>
    </w:pPr>
    <w:r>
      <w:rPr>
        <w:rFonts w:cs="Bitstream Vera Sans" w:ascii="Bitstream Vera Sans" w:hAnsi="Bitstream Vera Sans"/>
        <w:b/>
        <w:bCs/>
        <w:color w:val="3865CC"/>
        <w:sz w:val="28"/>
        <w:szCs w:val="28"/>
        <w:lang w:eastAsia="de-DE" w:bidi="de-DE"/>
      </w:rPr>
    </w:r>
  </w:p>
  <w:p>
    <w:pPr>
      <w:pStyle w:val="Normal"/>
      <w:pBdr>
        <w:top w:val="single" w:sz="4" w:space="2" w:color="000000"/>
      </w:pBdr>
      <w:spacing w:lineRule="auto" w:line="276"/>
      <w:jc w:val="center"/>
      <w:rPr/>
    </w:pPr>
    <w:r>
      <w:rPr/>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Unicode MS" w:cs="Lucida Sans"/>
        <w:szCs w:val="24"/>
        <w:lang w:val="de-DE"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6df2"/>
    <w:pPr>
      <w:widowControl/>
      <w:suppressAutoHyphens w:val="true"/>
      <w:bidi w:val="0"/>
      <w:spacing w:before="0" w:after="0"/>
      <w:jc w:val="left"/>
    </w:pPr>
    <w:rPr>
      <w:rFonts w:ascii="Arial" w:hAnsi="Arial" w:eastAsia="Tahoma" w:cs="Lohit Devanagari"/>
      <w:color w:val="auto"/>
      <w:kern w:val="2"/>
      <w:sz w:val="22"/>
      <w:szCs w:val="24"/>
      <w:lang w:val="de-DE"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sid w:val="00e46df2"/>
    <w:rPr/>
  </w:style>
  <w:style w:type="character" w:styleId="WW8Num1z1" w:customStyle="1">
    <w:name w:val="WW8Num1z1"/>
    <w:qFormat/>
    <w:rsid w:val="00e46df2"/>
    <w:rPr/>
  </w:style>
  <w:style w:type="character" w:styleId="WW8Num1z2" w:customStyle="1">
    <w:name w:val="WW8Num1z2"/>
    <w:qFormat/>
    <w:rsid w:val="00e46df2"/>
    <w:rPr/>
  </w:style>
  <w:style w:type="character" w:styleId="WW8Num1z3" w:customStyle="1">
    <w:name w:val="WW8Num1z3"/>
    <w:qFormat/>
    <w:rsid w:val="00e46df2"/>
    <w:rPr/>
  </w:style>
  <w:style w:type="character" w:styleId="WW8Num1z4" w:customStyle="1">
    <w:name w:val="WW8Num1z4"/>
    <w:qFormat/>
    <w:rsid w:val="00e46df2"/>
    <w:rPr/>
  </w:style>
  <w:style w:type="character" w:styleId="WW8Num1z5" w:customStyle="1">
    <w:name w:val="WW8Num1z5"/>
    <w:qFormat/>
    <w:rsid w:val="00e46df2"/>
    <w:rPr/>
  </w:style>
  <w:style w:type="character" w:styleId="WW8Num1z6" w:customStyle="1">
    <w:name w:val="WW8Num1z6"/>
    <w:qFormat/>
    <w:rsid w:val="00e46df2"/>
    <w:rPr/>
  </w:style>
  <w:style w:type="character" w:styleId="WW8Num1z7" w:customStyle="1">
    <w:name w:val="WW8Num1z7"/>
    <w:qFormat/>
    <w:rsid w:val="00e46df2"/>
    <w:rPr/>
  </w:style>
  <w:style w:type="character" w:styleId="WW8Num1z8" w:customStyle="1">
    <w:name w:val="WW8Num1z8"/>
    <w:qFormat/>
    <w:rsid w:val="00e46df2"/>
    <w:rPr/>
  </w:style>
  <w:style w:type="character" w:styleId="WW8Num2z0" w:customStyle="1">
    <w:name w:val="WW8Num2z0"/>
    <w:qFormat/>
    <w:rsid w:val="00e46df2"/>
    <w:rPr/>
  </w:style>
  <w:style w:type="character" w:styleId="WW8Num2z1" w:customStyle="1">
    <w:name w:val="WW8Num2z1"/>
    <w:qFormat/>
    <w:rsid w:val="00e46df2"/>
    <w:rPr/>
  </w:style>
  <w:style w:type="character" w:styleId="WW8Num2z2" w:customStyle="1">
    <w:name w:val="WW8Num2z2"/>
    <w:qFormat/>
    <w:rsid w:val="00e46df2"/>
    <w:rPr/>
  </w:style>
  <w:style w:type="character" w:styleId="WW8Num2z3" w:customStyle="1">
    <w:name w:val="WW8Num2z3"/>
    <w:qFormat/>
    <w:rsid w:val="00e46df2"/>
    <w:rPr/>
  </w:style>
  <w:style w:type="character" w:styleId="WW8Num2z4" w:customStyle="1">
    <w:name w:val="WW8Num2z4"/>
    <w:qFormat/>
    <w:rsid w:val="00e46df2"/>
    <w:rPr/>
  </w:style>
  <w:style w:type="character" w:styleId="WW8Num2z5" w:customStyle="1">
    <w:name w:val="WW8Num2z5"/>
    <w:qFormat/>
    <w:rsid w:val="00e46df2"/>
    <w:rPr/>
  </w:style>
  <w:style w:type="character" w:styleId="WW8Num2z6" w:customStyle="1">
    <w:name w:val="WW8Num2z6"/>
    <w:qFormat/>
    <w:rsid w:val="00e46df2"/>
    <w:rPr/>
  </w:style>
  <w:style w:type="character" w:styleId="WW8Num2z7" w:customStyle="1">
    <w:name w:val="WW8Num2z7"/>
    <w:qFormat/>
    <w:rsid w:val="00e46df2"/>
    <w:rPr/>
  </w:style>
  <w:style w:type="character" w:styleId="WW8Num2z8" w:customStyle="1">
    <w:name w:val="WW8Num2z8"/>
    <w:qFormat/>
    <w:rsid w:val="00e46df2"/>
    <w:rPr/>
  </w:style>
  <w:style w:type="character" w:styleId="Nummerierungszeichen" w:customStyle="1">
    <w:name w:val="Nummerierungszeichen"/>
    <w:qFormat/>
    <w:rsid w:val="00e46df2"/>
    <w:rPr/>
  </w:style>
  <w:style w:type="character" w:styleId="Aufzhlungszeichen1" w:customStyle="1">
    <w:name w:val="Aufzählungszeichen1"/>
    <w:qFormat/>
    <w:rsid w:val="00e46df2"/>
    <w:rPr>
      <w:rFonts w:ascii="OpenSymbol" w:hAnsi="OpenSymbol" w:eastAsia="OpenSymbol" w:cs="OpenSymbol"/>
    </w:rPr>
  </w:style>
  <w:style w:type="character" w:styleId="SprechblasentextZchn" w:customStyle="1">
    <w:name w:val="Sprechblasentext Zchn"/>
    <w:basedOn w:val="DefaultParagraphFont"/>
    <w:uiPriority w:val="99"/>
    <w:semiHidden/>
    <w:qFormat/>
    <w:rsid w:val="004d101d"/>
    <w:rPr>
      <w:rFonts w:ascii="Tahoma" w:hAnsi="Tahoma" w:eastAsia="Tahoma" w:cs="Mangal"/>
      <w:kern w:val="2"/>
      <w:sz w:val="16"/>
      <w:szCs w:val="14"/>
    </w:rPr>
  </w:style>
  <w:style w:type="character" w:styleId="KopfzeileZchn" w:customStyle="1">
    <w:name w:val="Kopfzeile Zchn"/>
    <w:basedOn w:val="DefaultParagraphFont"/>
    <w:uiPriority w:val="99"/>
    <w:semiHidden/>
    <w:qFormat/>
    <w:rsid w:val="004d101d"/>
    <w:rPr>
      <w:rFonts w:eastAsia="Tahoma" w:cs="Mangal"/>
      <w:kern w:val="2"/>
      <w:sz w:val="22"/>
    </w:rPr>
  </w:style>
  <w:style w:type="character" w:styleId="FuzeileZchn" w:customStyle="1">
    <w:name w:val="Fußzeile Zchn"/>
    <w:basedOn w:val="DefaultParagraphFont"/>
    <w:uiPriority w:val="99"/>
    <w:semiHidden/>
    <w:qFormat/>
    <w:rsid w:val="004d101d"/>
    <w:rPr>
      <w:rFonts w:eastAsia="Tahoma" w:cs="Mangal"/>
      <w:kern w:val="2"/>
      <w:sz w:val="22"/>
    </w:rPr>
  </w:style>
  <w:style w:type="character" w:styleId="Internetverknpfung">
    <w:name w:val="Internetverknüpfung"/>
    <w:basedOn w:val="DefaultParagraphFont"/>
    <w:uiPriority w:val="99"/>
    <w:unhideWhenUsed/>
    <w:rsid w:val="002b1fcc"/>
    <w:rPr>
      <w:color w:val="0000FF" w:themeColor="hyperlink"/>
      <w:u w:val="single"/>
    </w:rPr>
  </w:style>
  <w:style w:type="paragraph" w:styleId="Berschrift" w:customStyle="1">
    <w:name w:val="Überschrift"/>
    <w:basedOn w:val="Normal"/>
    <w:next w:val="Textkrper"/>
    <w:qFormat/>
    <w:rsid w:val="00e46df2"/>
    <w:pPr>
      <w:keepNext w:val="true"/>
      <w:spacing w:before="240" w:after="120"/>
    </w:pPr>
    <w:rPr>
      <w:sz w:val="24"/>
      <w:szCs w:val="28"/>
    </w:rPr>
  </w:style>
  <w:style w:type="paragraph" w:styleId="Textkrper">
    <w:name w:val="Body Text"/>
    <w:basedOn w:val="Normal"/>
    <w:rsid w:val="00e46df2"/>
    <w:pPr>
      <w:spacing w:lineRule="auto" w:line="288" w:before="0" w:after="140"/>
    </w:pPr>
    <w:rPr/>
  </w:style>
  <w:style w:type="paragraph" w:styleId="Aufzhlung">
    <w:name w:val="List"/>
    <w:basedOn w:val="Textkrper"/>
    <w:rsid w:val="00e46df2"/>
    <w:pPr/>
    <w:rPr/>
  </w:style>
  <w:style w:type="paragraph" w:styleId="Beschriftung" w:customStyle="1">
    <w:name w:val="Caption"/>
    <w:basedOn w:val="Normal"/>
    <w:qFormat/>
    <w:rsid w:val="00e46df2"/>
    <w:pPr>
      <w:suppressLineNumbers/>
      <w:spacing w:before="120" w:after="120"/>
    </w:pPr>
    <w:rPr>
      <w:i/>
      <w:iCs/>
    </w:rPr>
  </w:style>
  <w:style w:type="paragraph" w:styleId="Verzeichnis" w:customStyle="1">
    <w:name w:val="Verzeichnis"/>
    <w:basedOn w:val="Normal"/>
    <w:qFormat/>
    <w:rsid w:val="00e46df2"/>
    <w:pPr>
      <w:suppressLineNumbers/>
    </w:pPr>
    <w:rPr/>
  </w:style>
  <w:style w:type="paragraph" w:styleId="KopfundFuzeile">
    <w:name w:val="Kopf- und Fußzeile"/>
    <w:basedOn w:val="Normal"/>
    <w:qFormat/>
    <w:pPr/>
    <w:rPr/>
  </w:style>
  <w:style w:type="paragraph" w:styleId="Kopfzeile">
    <w:name w:val="Header"/>
    <w:basedOn w:val="Normal"/>
    <w:link w:val="KopfzeileZchn"/>
    <w:uiPriority w:val="99"/>
    <w:semiHidden/>
    <w:unhideWhenUsed/>
    <w:rsid w:val="004d101d"/>
    <w:pPr>
      <w:tabs>
        <w:tab w:val="clear" w:pos="720"/>
        <w:tab w:val="center" w:pos="4536" w:leader="none"/>
        <w:tab w:val="right" w:pos="9072" w:leader="none"/>
      </w:tabs>
    </w:pPr>
    <w:rPr>
      <w:rFonts w:cs="Mangal"/>
    </w:rPr>
  </w:style>
  <w:style w:type="paragraph" w:styleId="Fuzeile">
    <w:name w:val="Footer"/>
    <w:basedOn w:val="Normal"/>
    <w:link w:val="FuzeileZchn"/>
    <w:uiPriority w:val="99"/>
    <w:semiHidden/>
    <w:unhideWhenUsed/>
    <w:rsid w:val="004d101d"/>
    <w:pPr>
      <w:tabs>
        <w:tab w:val="clear" w:pos="720"/>
        <w:tab w:val="center" w:pos="4536" w:leader="none"/>
        <w:tab w:val="right" w:pos="9072" w:leader="none"/>
      </w:tabs>
    </w:pPr>
    <w:rPr>
      <w:rFonts w:cs="Mangal"/>
    </w:rPr>
  </w:style>
  <w:style w:type="paragraph" w:styleId="BalloonText">
    <w:name w:val="Balloon Text"/>
    <w:basedOn w:val="Normal"/>
    <w:link w:val="SprechblasentextZchn"/>
    <w:uiPriority w:val="99"/>
    <w:semiHidden/>
    <w:unhideWhenUsed/>
    <w:qFormat/>
    <w:rsid w:val="004d101d"/>
    <w:pPr/>
    <w:rPr>
      <w:rFonts w:ascii="Tahoma" w:hAnsi="Tahoma" w:cs="Mangal"/>
      <w:sz w:val="16"/>
      <w:szCs w:val="14"/>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numbering" w:styleId="NoList" w:default="1">
    <w:name w:val="No List"/>
    <w:uiPriority w:val="99"/>
    <w:semiHidden/>
    <w:unhideWhenUsed/>
    <w:qFormat/>
  </w:style>
  <w:style w:type="numbering" w:styleId="WW8Num1" w:customStyle="1">
    <w:name w:val="WW8Num1"/>
    <w:qFormat/>
    <w:rsid w:val="00e46df2"/>
  </w:style>
  <w:style w:type="numbering" w:styleId="WW8Num2" w:customStyle="1">
    <w:name w:val="WW8Num2"/>
    <w:qFormat/>
    <w:rsid w:val="00e46df2"/>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Application>LibreOffice/7.3.0.2$Linux_X86_64 LibreOffice_project/30$Build-2</Application>
  <AppVersion>15.0000</AppVersion>
  <Pages>2</Pages>
  <Words>337</Words>
  <Characters>2340</Characters>
  <CharactersWithSpaces>2660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2016-12-21T10:54:00Z</dcterms:created>
  <dc:creator/>
  <dc:description/>
  <dc:language>de-DE</dc:language>
  <cp:lastModifiedBy>Jutta Dietz</cp:lastModifiedBy>
  <cp:lastPrinted>2019-01-28T09:59:00Z</cp:lastPrinted>
  <dcterms:modified xsi:type="dcterms:W3CDTF">2022-02-01T10:16:44Z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