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0F" w:rsidRPr="00CB191F" w:rsidRDefault="00B811F0" w:rsidP="00A5361B">
      <w:pPr>
        <w:tabs>
          <w:tab w:val="left" w:pos="5944"/>
          <w:tab w:val="left" w:pos="7250"/>
          <w:tab w:val="left" w:pos="7953"/>
        </w:tabs>
        <w:ind w:right="567"/>
        <w:rPr>
          <w:rFonts w:cs="Arial"/>
          <w:i/>
          <w:sz w:val="22"/>
          <w:szCs w:val="20"/>
        </w:rPr>
      </w:pPr>
      <w:r>
        <w:rPr>
          <w:rFonts w:cs="Arial"/>
          <w:i/>
          <w:sz w:val="22"/>
          <w:szCs w:val="20"/>
        </w:rPr>
        <w:t>September 2018</w:t>
      </w:r>
    </w:p>
    <w:p w:rsidR="00C07478" w:rsidRPr="00CB191F" w:rsidRDefault="00C07478" w:rsidP="00A5361B">
      <w:pPr>
        <w:tabs>
          <w:tab w:val="left" w:pos="5944"/>
          <w:tab w:val="left" w:pos="7250"/>
          <w:tab w:val="left" w:pos="7953"/>
        </w:tabs>
        <w:ind w:right="567"/>
        <w:rPr>
          <w:rFonts w:cs="Arial"/>
          <w:sz w:val="22"/>
          <w:szCs w:val="20"/>
        </w:rPr>
      </w:pPr>
    </w:p>
    <w:p w:rsidR="00327158" w:rsidRPr="00CB191F" w:rsidRDefault="00327158" w:rsidP="00A5361B">
      <w:pPr>
        <w:tabs>
          <w:tab w:val="left" w:pos="5944"/>
          <w:tab w:val="left" w:pos="7250"/>
          <w:tab w:val="left" w:pos="7953"/>
        </w:tabs>
        <w:ind w:right="567"/>
        <w:rPr>
          <w:rFonts w:cs="Arial"/>
          <w:sz w:val="22"/>
          <w:szCs w:val="20"/>
        </w:rPr>
      </w:pPr>
    </w:p>
    <w:p w:rsidR="00B811F0" w:rsidRDefault="00B811F0" w:rsidP="00B811F0">
      <w:pPr>
        <w:rPr>
          <w:b/>
          <w:bCs/>
        </w:rPr>
      </w:pPr>
      <w:r>
        <w:rPr>
          <w:b/>
          <w:bCs/>
        </w:rPr>
        <w:t>VESF: Kaltfräsen in Europa im "grünen Bereich"</w:t>
      </w:r>
    </w:p>
    <w:p w:rsidR="00B811F0" w:rsidRDefault="00B811F0" w:rsidP="00B811F0">
      <w:pPr>
        <w:rPr>
          <w:b/>
          <w:bCs/>
        </w:rPr>
      </w:pPr>
      <w:r>
        <w:rPr>
          <w:b/>
          <w:bCs/>
        </w:rPr>
        <w:t>Branchenlösung zur wirksamen Staubreduzierung greift nachhaltig</w:t>
      </w:r>
    </w:p>
    <w:p w:rsidR="00C07478" w:rsidRPr="00CB191F" w:rsidRDefault="00C07478" w:rsidP="00A5361B">
      <w:pPr>
        <w:tabs>
          <w:tab w:val="left" w:pos="5944"/>
          <w:tab w:val="left" w:pos="7250"/>
          <w:tab w:val="left" w:pos="7953"/>
        </w:tabs>
        <w:spacing w:line="280" w:lineRule="exact"/>
        <w:ind w:right="567"/>
        <w:rPr>
          <w:rFonts w:cs="Arial"/>
          <w:b/>
          <w:sz w:val="22"/>
          <w:szCs w:val="20"/>
        </w:rPr>
      </w:pPr>
    </w:p>
    <w:p w:rsidR="00B811F0" w:rsidRPr="00B811F0" w:rsidRDefault="00C07478" w:rsidP="00B811F0">
      <w:pPr>
        <w:tabs>
          <w:tab w:val="left" w:pos="5944"/>
          <w:tab w:val="left" w:pos="7250"/>
          <w:tab w:val="left" w:pos="7953"/>
        </w:tabs>
        <w:spacing w:line="280" w:lineRule="exact"/>
        <w:ind w:right="567"/>
        <w:rPr>
          <w:i/>
        </w:rPr>
      </w:pPr>
      <w:r w:rsidRPr="00CB191F">
        <w:rPr>
          <w:rFonts w:cs="Arial"/>
          <w:b/>
          <w:sz w:val="22"/>
          <w:szCs w:val="20"/>
        </w:rPr>
        <w:t xml:space="preserve">[Niederdürenbach] </w:t>
      </w:r>
      <w:r w:rsidR="00B811F0" w:rsidRPr="00B811F0">
        <w:rPr>
          <w:i/>
        </w:rPr>
        <w:t xml:space="preserve">Die Reduzierung von Staubemissionen gehört seit Jahren zu den intensiv diskutierten Themen im VESF, dem Verband Europäischer Straßenfräsunternehmungen e.V. Dazu arbeiten der Verband bzw. die Fräsdienstleister als Vorreiter seit über 15 Jahren insbesondere mit den Behörden in den Niederlanden und Deutschland aktiv zusammen. In diesem Kontext wurden zahlreiche Lösungen entwickelt und umfangreich getestet. </w:t>
      </w:r>
    </w:p>
    <w:p w:rsidR="00B811F0" w:rsidRDefault="00B811F0" w:rsidP="00B811F0"/>
    <w:p w:rsidR="00B811F0" w:rsidRDefault="00B811F0" w:rsidP="00B811F0">
      <w:r>
        <w:t xml:space="preserve">Das Resultat: Heute betreiben die Fräsdienstleister im VESF ausnahmslos Maschinen, mit denen sogar die 2014 bzw. 2015 verschärften deutschen Grenzwerte deutlich unterschritten werden. Selbst Fräsdienstleister in Ländern ohne entsprechende Regelungen haben – motiviert durch verbandsinterne Diskussionen – auf Maschinen mit entsprechender Technik umgeschwenkt. </w:t>
      </w:r>
    </w:p>
    <w:p w:rsidR="00B811F0" w:rsidRDefault="00B811F0" w:rsidP="00B811F0"/>
    <w:p w:rsidR="00B811F0" w:rsidRDefault="00B811F0" w:rsidP="00B811F0">
      <w:r>
        <w:t xml:space="preserve">Das Fräsen mit deutlich reduzierten Emissionen überall in Europa ist heute möglich, weil die Maschinenhersteller mittlerweile entsprechende Systeme zur Absaugung von Staub im Bereich des Abwurfbandes im Portfolio haben. Dadurch werden heute die Bediener der Fräsen so gut wie nie zuvor vor arbeitsbedingten Gesundheitsgefahren geschützt. Um dieses Ziel zu erreichen, haben die Fräsdienstleister erhebliche Investitionen getätigt. </w:t>
      </w:r>
    </w:p>
    <w:p w:rsidR="00B811F0" w:rsidRDefault="00B811F0" w:rsidP="00B811F0"/>
    <w:p w:rsidR="00B811F0" w:rsidRDefault="00B811F0" w:rsidP="00B811F0"/>
    <w:p w:rsidR="00B811F0" w:rsidRDefault="00B811F0" w:rsidP="00B811F0">
      <w:pPr>
        <w:rPr>
          <w:u w:val="single"/>
        </w:rPr>
      </w:pPr>
      <w:r>
        <w:rPr>
          <w:b/>
          <w:bCs/>
          <w:color w:val="000000"/>
          <w:sz w:val="22"/>
          <w:szCs w:val="22"/>
          <w:u w:val="single"/>
        </w:rPr>
        <w:t>Hintergrundinfo:</w:t>
      </w:r>
    </w:p>
    <w:p w:rsidR="00B811F0" w:rsidRDefault="00B811F0" w:rsidP="00B811F0">
      <w:pPr>
        <w:rPr>
          <w:b/>
          <w:bCs/>
          <w:color w:val="000000"/>
          <w:szCs w:val="22"/>
        </w:rPr>
      </w:pPr>
    </w:p>
    <w:p w:rsidR="00B811F0" w:rsidRDefault="00B811F0" w:rsidP="00B811F0">
      <w:r>
        <w:rPr>
          <w:b/>
          <w:bCs/>
          <w:color w:val="000000"/>
          <w:sz w:val="22"/>
          <w:szCs w:val="22"/>
        </w:rPr>
        <w:t>Staubreduzierung beim Kaltfräsen – ein Rückblick</w:t>
      </w:r>
    </w:p>
    <w:p w:rsidR="00B811F0" w:rsidRDefault="00B811F0" w:rsidP="00B811F0">
      <w:r>
        <w:rPr>
          <w:color w:val="000000"/>
          <w:sz w:val="22"/>
          <w:szCs w:val="22"/>
        </w:rPr>
        <w:t xml:space="preserve">Schon seit 2004 gibt es in den Niederlanden Vorgaben für die maximale Arbeitsplatzkonzentration (MAK) der Quarzstäube für Arbeitnehmer in der Bauwirtschaft. Im Vorfeld – etwa seit dem Jahr 2000 – haben die Fräsdienstleister in den Niederlanden in diesem Kontext zusammen mit Wirtgen als Maschinenhersteller und der TNO ("Organisation für Angewandte Naturwissenschaftliche Forschung", als Körperschaft des Öffentlichen Rechts eine staatliche Organisation) ein </w:t>
      </w:r>
      <w:r>
        <w:t xml:space="preserve">System zur Staubabsaugung bei Großfräsen erprobt. Nachdem die Wirksamkeit der Lösung nachgewiesen war, wurden entsprechende Systeme zum Schutz der Mitarbeiter sehr schnell eingeführt. </w:t>
      </w:r>
    </w:p>
    <w:p w:rsidR="00B811F0" w:rsidRDefault="00B811F0" w:rsidP="00B811F0"/>
    <w:p w:rsidR="00B811F0" w:rsidRDefault="00B811F0" w:rsidP="00B811F0">
      <w:r>
        <w:t>Diese – damals einzige am Markt verfügbare – Lösung wurde ab 2007 von der deutschen Berufsgenossenschaft (BG) überprüft. Der VESF hat in den folgenden Jahren gemeinsam mit der BG in Deutschland zahlreiche Messungen durchgeführt. Auch sie ergaben, dass Vorrichtungen gemäß BGI 790-20 die Staubbelastung für die Mitarbeiter auf und rund um die Kaltfräse spürbar reduziert. Dabei wurden alle Grenzwerte deutlich unterschritten. Darauf basierend vereinbarten die BG und der VESF 2010 nach intensiver Zusammenarbeit eine Branchenlösung. Darin verpflichteten sich die europäischen Fräsdienstleister im VESF, nur noch Maschinen mit "wirksamer Staubreduzierung" zu nutzen.</w:t>
      </w:r>
    </w:p>
    <w:p w:rsidR="00B811F0" w:rsidRDefault="00B811F0" w:rsidP="00B811F0"/>
    <w:p w:rsidR="00B811F0" w:rsidRDefault="00B811F0" w:rsidP="00B811F0">
      <w:r>
        <w:t xml:space="preserve">Dies nahmen mehrere Hersteller zum Anlass, entsprechende Systeme zur Absaugung von Staub im Bereich des Abwurfbandes zu entwickeln und ins Portfolio zu übernehmen. Das erfolgte nicht zuletzt deshalb, weil der VESF als Verband diese Entwicklung vorangetrieben hat. </w:t>
      </w:r>
    </w:p>
    <w:p w:rsidR="00B811F0" w:rsidRDefault="00B811F0" w:rsidP="00B811F0"/>
    <w:p w:rsidR="00B811F0" w:rsidRDefault="00B811F0" w:rsidP="00B811F0">
      <w:r>
        <w:t>Nachdem 2014 und 2015 in Deutschland die Grenzwerte bzw. Beurteilungsmaßstäbe für die relevanten Staubfraktionen (A-Staub und E-Staub) herabgesetzt wurden, haben die Fräsdienstleister im VESF zusammen mit der BG neue Messungen durchgeführt. Auch das Resultat dieser Messungen ist erfreulich für die Fräsdienstleister, denn alle Werte lagen weit unter den Grenzwerten: Bei den A-Stäuben wurden weniger als 80% der zulässigen Belastung festgestellt, bei den E-Stäuben sogar nur 7 – 15% und beim Quarz zeigten die Messungen Werte zwischen 6 und 90% des neuen Beurteilungsmaßstabes.</w:t>
      </w:r>
    </w:p>
    <w:p w:rsidR="00B811F0" w:rsidRDefault="00B811F0" w:rsidP="00B811F0"/>
    <w:p w:rsidR="00B811F0" w:rsidRDefault="00B811F0" w:rsidP="00B811F0">
      <w:r>
        <w:rPr>
          <w:color w:val="000000"/>
        </w:rPr>
        <w:t xml:space="preserve">Entsprechend heißt das: die Bemühungen zur Prävention waren erfolgreich. Unabhängig von den bislang erreichten Zielen sind die europäischen Fräsdienstleister im VESF auch darüber hinaus offen für eine Unterstützung der Hersteller bei der Entwicklung neuer, anders konzipierter Lösungen zur Reduzierung der Staubemissionen. </w:t>
      </w:r>
    </w:p>
    <w:p w:rsidR="00B168D0" w:rsidRPr="00CB191F" w:rsidRDefault="00B168D0" w:rsidP="00327158">
      <w:pPr>
        <w:tabs>
          <w:tab w:val="left" w:pos="5944"/>
          <w:tab w:val="left" w:pos="7250"/>
          <w:tab w:val="left" w:pos="7953"/>
        </w:tabs>
        <w:spacing w:line="280" w:lineRule="exact"/>
        <w:rPr>
          <w:rFonts w:cs="Arial"/>
          <w:sz w:val="22"/>
          <w:szCs w:val="20"/>
        </w:rPr>
      </w:pPr>
    </w:p>
    <w:p w:rsidR="00B168D0" w:rsidRPr="00CB191F" w:rsidRDefault="00B168D0" w:rsidP="00327158">
      <w:pPr>
        <w:tabs>
          <w:tab w:val="left" w:pos="5944"/>
          <w:tab w:val="left" w:pos="7250"/>
          <w:tab w:val="left" w:pos="7953"/>
        </w:tabs>
        <w:spacing w:line="280" w:lineRule="exact"/>
        <w:jc w:val="center"/>
        <w:rPr>
          <w:rFonts w:cs="Arial"/>
          <w:sz w:val="22"/>
          <w:szCs w:val="20"/>
        </w:rPr>
      </w:pPr>
      <w:r w:rsidRPr="00CB191F">
        <w:rPr>
          <w:rFonts w:cs="Arial"/>
          <w:sz w:val="22"/>
          <w:szCs w:val="20"/>
        </w:rPr>
        <w:t>--- ENDE ---</w:t>
      </w:r>
    </w:p>
    <w:p w:rsidR="00B168D0" w:rsidRPr="00CB191F" w:rsidRDefault="00B168D0" w:rsidP="00327158">
      <w:pPr>
        <w:tabs>
          <w:tab w:val="left" w:pos="5944"/>
          <w:tab w:val="left" w:pos="7250"/>
          <w:tab w:val="left" w:pos="7953"/>
        </w:tabs>
        <w:spacing w:line="280" w:lineRule="exact"/>
        <w:jc w:val="center"/>
        <w:rPr>
          <w:rFonts w:cs="Arial"/>
          <w:sz w:val="22"/>
          <w:szCs w:val="20"/>
        </w:rPr>
      </w:pPr>
    </w:p>
    <w:p w:rsidR="00B168D0" w:rsidRPr="00CB191F" w:rsidRDefault="00B168D0" w:rsidP="00327158">
      <w:pPr>
        <w:tabs>
          <w:tab w:val="left" w:pos="5944"/>
          <w:tab w:val="left" w:pos="7250"/>
          <w:tab w:val="left" w:pos="7953"/>
        </w:tabs>
        <w:spacing w:line="280" w:lineRule="exact"/>
        <w:jc w:val="center"/>
        <w:rPr>
          <w:rFonts w:cs="Arial"/>
          <w:sz w:val="22"/>
          <w:szCs w:val="20"/>
        </w:rPr>
      </w:pPr>
    </w:p>
    <w:p w:rsidR="00991DB9" w:rsidRPr="00CB191F" w:rsidRDefault="00B811F0" w:rsidP="00327158">
      <w:pPr>
        <w:tabs>
          <w:tab w:val="left" w:pos="5944"/>
          <w:tab w:val="left" w:pos="7250"/>
          <w:tab w:val="left" w:pos="7953"/>
        </w:tabs>
        <w:spacing w:line="280" w:lineRule="exact"/>
        <w:jc w:val="center"/>
        <w:rPr>
          <w:rFonts w:cs="Arial"/>
          <w:sz w:val="22"/>
          <w:szCs w:val="20"/>
        </w:rPr>
      </w:pPr>
      <w:r>
        <w:rPr>
          <w:rFonts w:cs="Arial"/>
          <w:sz w:val="22"/>
          <w:szCs w:val="20"/>
        </w:rPr>
        <w:t>1.197 +</w:t>
      </w:r>
      <w:r w:rsidR="000B67E4">
        <w:rPr>
          <w:rFonts w:cs="Arial"/>
          <w:sz w:val="22"/>
          <w:szCs w:val="20"/>
        </w:rPr>
        <w:t xml:space="preserve"> </w:t>
      </w:r>
      <w:r>
        <w:rPr>
          <w:rFonts w:cs="Arial"/>
          <w:sz w:val="22"/>
          <w:szCs w:val="20"/>
        </w:rPr>
        <w:t>2.520</w:t>
      </w:r>
      <w:r w:rsidR="00B168D0" w:rsidRPr="00CB191F">
        <w:rPr>
          <w:rFonts w:cs="Arial"/>
          <w:sz w:val="22"/>
          <w:szCs w:val="20"/>
        </w:rPr>
        <w:t xml:space="preserve"> Zeichen inkl. Leerzeichen</w:t>
      </w:r>
    </w:p>
    <w:p w:rsidR="00A5361B" w:rsidRPr="00CB191F" w:rsidRDefault="00A5361B" w:rsidP="00327158">
      <w:pPr>
        <w:tabs>
          <w:tab w:val="left" w:pos="5944"/>
          <w:tab w:val="left" w:pos="7250"/>
          <w:tab w:val="left" w:pos="7953"/>
        </w:tabs>
        <w:spacing w:line="280" w:lineRule="exact"/>
        <w:rPr>
          <w:rFonts w:cs="Arial"/>
          <w:sz w:val="22"/>
          <w:szCs w:val="20"/>
        </w:rPr>
      </w:pPr>
    </w:p>
    <w:p w:rsidR="00A5361B" w:rsidRPr="00CB191F" w:rsidRDefault="00A5361B" w:rsidP="00327158">
      <w:pPr>
        <w:tabs>
          <w:tab w:val="left" w:pos="5944"/>
          <w:tab w:val="left" w:pos="7250"/>
          <w:tab w:val="left" w:pos="7953"/>
        </w:tabs>
        <w:spacing w:line="280" w:lineRule="exact"/>
        <w:rPr>
          <w:rFonts w:cs="Arial"/>
          <w:sz w:val="22"/>
          <w:szCs w:val="20"/>
        </w:rPr>
      </w:pPr>
    </w:p>
    <w:p w:rsidR="006F170F" w:rsidRPr="00CB191F" w:rsidRDefault="00B168D0" w:rsidP="00327158">
      <w:pPr>
        <w:tabs>
          <w:tab w:val="left" w:pos="5944"/>
          <w:tab w:val="left" w:pos="7250"/>
          <w:tab w:val="left" w:pos="7953"/>
        </w:tabs>
        <w:spacing w:line="280" w:lineRule="exact"/>
        <w:rPr>
          <w:rFonts w:cs="Arial"/>
          <w:b/>
          <w:sz w:val="22"/>
          <w:szCs w:val="20"/>
        </w:rPr>
      </w:pPr>
      <w:r w:rsidRPr="00CB191F">
        <w:rPr>
          <w:rFonts w:cs="Arial"/>
          <w:b/>
          <w:sz w:val="22"/>
          <w:szCs w:val="20"/>
        </w:rPr>
        <w:t>Bild</w:t>
      </w:r>
    </w:p>
    <w:p w:rsidR="00B168D0" w:rsidRPr="00CB191F" w:rsidRDefault="00B168D0" w:rsidP="00327158">
      <w:pPr>
        <w:tabs>
          <w:tab w:val="left" w:pos="5944"/>
          <w:tab w:val="left" w:pos="7250"/>
          <w:tab w:val="left" w:pos="7953"/>
        </w:tabs>
        <w:spacing w:line="280" w:lineRule="exact"/>
        <w:rPr>
          <w:rFonts w:cs="Arial"/>
          <w:sz w:val="22"/>
          <w:szCs w:val="20"/>
        </w:rPr>
      </w:pPr>
    </w:p>
    <w:tbl>
      <w:tblPr>
        <w:tblStyle w:val="Tabellengitternetz"/>
        <w:tblW w:w="0" w:type="auto"/>
        <w:tblInd w:w="57" w:type="dxa"/>
        <w:tblCellMar>
          <w:top w:w="57" w:type="dxa"/>
          <w:left w:w="57" w:type="dxa"/>
          <w:right w:w="57" w:type="dxa"/>
        </w:tblCellMar>
        <w:tblLook w:val="04A0"/>
      </w:tblPr>
      <w:tblGrid>
        <w:gridCol w:w="3402"/>
        <w:gridCol w:w="5580"/>
      </w:tblGrid>
      <w:tr w:rsidR="00B168D0" w:rsidRPr="00CB191F" w:rsidTr="00B12CE8">
        <w:tc>
          <w:tcPr>
            <w:tcW w:w="3402" w:type="dxa"/>
            <w:vAlign w:val="center"/>
          </w:tcPr>
          <w:p w:rsidR="00B168D0" w:rsidRPr="00CB191F" w:rsidRDefault="009950F5" w:rsidP="00327158">
            <w:pPr>
              <w:tabs>
                <w:tab w:val="left" w:pos="5944"/>
                <w:tab w:val="left" w:pos="7250"/>
                <w:tab w:val="left" w:pos="7953"/>
              </w:tabs>
              <w:spacing w:line="280" w:lineRule="exact"/>
              <w:rPr>
                <w:rFonts w:cs="Arial"/>
                <w:sz w:val="22"/>
                <w:szCs w:val="20"/>
              </w:rPr>
            </w:pPr>
            <w:r>
              <w:rPr>
                <w:noProof/>
                <w:lang w:bidi="ar-SA"/>
              </w:rPr>
              <w:drawing>
                <wp:anchor distT="0" distB="0" distL="114300" distR="114300" simplePos="0" relativeHeight="251668480" behindDoc="0" locked="0" layoutInCell="1" allowOverlap="1">
                  <wp:simplePos x="0" y="0"/>
                  <wp:positionH relativeFrom="column">
                    <wp:posOffset>0</wp:posOffset>
                  </wp:positionH>
                  <wp:positionV relativeFrom="paragraph">
                    <wp:posOffset>-856615</wp:posOffset>
                  </wp:positionV>
                  <wp:extent cx="1962150" cy="861695"/>
                  <wp:effectExtent l="19050" t="0" r="0" b="0"/>
                  <wp:wrapTopAndBottom/>
                  <wp:docPr id="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tretch>
                            <a:fillRect/>
                          </a:stretch>
                        </pic:blipFill>
                        <pic:spPr bwMode="auto">
                          <a:xfrm>
                            <a:off x="0" y="0"/>
                            <a:ext cx="1962150" cy="861695"/>
                          </a:xfrm>
                          <a:prstGeom prst="rect">
                            <a:avLst/>
                          </a:prstGeom>
                          <a:noFill/>
                          <a:ln w="9525">
                            <a:noFill/>
                            <a:miter lim="800000"/>
                            <a:headEnd/>
                            <a:tailEnd/>
                          </a:ln>
                        </pic:spPr>
                      </pic:pic>
                    </a:graphicData>
                  </a:graphic>
                </wp:anchor>
              </w:drawing>
            </w:r>
          </w:p>
        </w:tc>
        <w:tc>
          <w:tcPr>
            <w:tcW w:w="5580" w:type="dxa"/>
          </w:tcPr>
          <w:p w:rsidR="00B168D0" w:rsidRDefault="00B811F0" w:rsidP="00327158">
            <w:pPr>
              <w:tabs>
                <w:tab w:val="left" w:pos="5944"/>
                <w:tab w:val="left" w:pos="7250"/>
                <w:tab w:val="left" w:pos="7953"/>
              </w:tabs>
              <w:spacing w:line="280" w:lineRule="exact"/>
              <w:ind w:right="420"/>
              <w:rPr>
                <w:color w:val="000000"/>
                <w:sz w:val="22"/>
                <w:szCs w:val="22"/>
              </w:rPr>
            </w:pPr>
            <w:r>
              <w:rPr>
                <w:color w:val="000000"/>
                <w:sz w:val="22"/>
                <w:szCs w:val="22"/>
              </w:rPr>
              <w:t>Kaltfräse mit Staubabsaugung</w:t>
            </w:r>
          </w:p>
          <w:p w:rsidR="000B67E4" w:rsidRDefault="000B67E4" w:rsidP="00327158">
            <w:pPr>
              <w:tabs>
                <w:tab w:val="left" w:pos="5944"/>
                <w:tab w:val="left" w:pos="7250"/>
                <w:tab w:val="left" w:pos="7953"/>
              </w:tabs>
              <w:spacing w:line="280" w:lineRule="exact"/>
              <w:ind w:right="420"/>
              <w:rPr>
                <w:color w:val="000000"/>
                <w:sz w:val="22"/>
                <w:szCs w:val="22"/>
              </w:rPr>
            </w:pPr>
          </w:p>
          <w:p w:rsidR="000B67E4" w:rsidRPr="00CB191F" w:rsidRDefault="000B67E4" w:rsidP="00327158">
            <w:pPr>
              <w:tabs>
                <w:tab w:val="left" w:pos="5944"/>
                <w:tab w:val="left" w:pos="7250"/>
                <w:tab w:val="left" w:pos="7953"/>
              </w:tabs>
              <w:spacing w:line="280" w:lineRule="exact"/>
              <w:ind w:right="420"/>
              <w:rPr>
                <w:rFonts w:cs="Arial"/>
                <w:sz w:val="22"/>
                <w:szCs w:val="20"/>
              </w:rPr>
            </w:pPr>
            <w:r>
              <w:rPr>
                <w:color w:val="000000"/>
                <w:sz w:val="22"/>
                <w:szCs w:val="22"/>
              </w:rPr>
              <w:t>Quelle: VESF</w:t>
            </w:r>
          </w:p>
          <w:p w:rsidR="00B168D0" w:rsidRPr="00CB191F" w:rsidRDefault="00B168D0" w:rsidP="00327158">
            <w:pPr>
              <w:tabs>
                <w:tab w:val="left" w:pos="5944"/>
                <w:tab w:val="left" w:pos="7250"/>
                <w:tab w:val="left" w:pos="7953"/>
              </w:tabs>
              <w:spacing w:line="280" w:lineRule="exact"/>
              <w:ind w:right="420"/>
              <w:rPr>
                <w:rFonts w:cs="Arial"/>
                <w:sz w:val="22"/>
                <w:szCs w:val="20"/>
              </w:rPr>
            </w:pPr>
          </w:p>
        </w:tc>
      </w:tr>
    </w:tbl>
    <w:p w:rsidR="006F170F" w:rsidRPr="00CB191F" w:rsidRDefault="006F170F" w:rsidP="00327158">
      <w:pPr>
        <w:tabs>
          <w:tab w:val="left" w:pos="5944"/>
          <w:tab w:val="left" w:pos="7250"/>
          <w:tab w:val="left" w:pos="7953"/>
        </w:tabs>
        <w:spacing w:line="280" w:lineRule="exact"/>
        <w:rPr>
          <w:rFonts w:cs="Arial"/>
          <w:sz w:val="22"/>
          <w:szCs w:val="20"/>
        </w:rPr>
      </w:pPr>
    </w:p>
    <w:p w:rsidR="00327158" w:rsidRPr="00CB191F" w:rsidRDefault="00327158" w:rsidP="00327158">
      <w:pPr>
        <w:tabs>
          <w:tab w:val="left" w:pos="5944"/>
          <w:tab w:val="left" w:pos="7250"/>
          <w:tab w:val="left" w:pos="7953"/>
        </w:tabs>
        <w:spacing w:line="280" w:lineRule="exact"/>
        <w:rPr>
          <w:rFonts w:cs="Arial"/>
          <w:sz w:val="22"/>
          <w:szCs w:val="20"/>
        </w:rPr>
      </w:pPr>
    </w:p>
    <w:p w:rsidR="006F170F" w:rsidRPr="00CB191F" w:rsidRDefault="006F170F" w:rsidP="00327158">
      <w:pPr>
        <w:spacing w:line="280" w:lineRule="exact"/>
        <w:ind w:right="687"/>
        <w:rPr>
          <w:rFonts w:cs="Arial"/>
          <w:sz w:val="28"/>
        </w:rPr>
      </w:pPr>
    </w:p>
    <w:p w:rsidR="006F170F" w:rsidRPr="00CB191F" w:rsidRDefault="006F170F" w:rsidP="00327158">
      <w:pPr>
        <w:spacing w:line="280" w:lineRule="exact"/>
        <w:ind w:left="284"/>
        <w:rPr>
          <w:rFonts w:cs="Arial"/>
          <w:sz w:val="28"/>
        </w:rPr>
        <w:sectPr w:rsidR="006F170F" w:rsidRPr="00CB191F" w:rsidSect="00D54A38">
          <w:headerReference w:type="default" r:id="rId7"/>
          <w:footerReference w:type="default" r:id="rId8"/>
          <w:pgSz w:w="11906" w:h="16838"/>
          <w:pgMar w:top="397" w:right="1416" w:bottom="1134" w:left="1418" w:header="0" w:footer="456" w:gutter="0"/>
          <w:cols w:space="720"/>
          <w:formProt w:val="0"/>
          <w:docGrid w:linePitch="360"/>
        </w:sectPr>
      </w:pPr>
    </w:p>
    <w:p w:rsidR="006F170F" w:rsidRPr="00CB191F" w:rsidRDefault="007F4261" w:rsidP="00327158">
      <w:pPr>
        <w:pStyle w:val="Rahmeninhalt"/>
        <w:tabs>
          <w:tab w:val="left" w:pos="0"/>
        </w:tabs>
        <w:spacing w:after="57" w:line="280" w:lineRule="exact"/>
        <w:ind w:right="-31"/>
        <w:rPr>
          <w:rFonts w:cs="Arial"/>
          <w:b/>
          <w:color w:val="000000" w:themeColor="text1"/>
          <w:sz w:val="22"/>
          <w:szCs w:val="16"/>
        </w:rPr>
      </w:pPr>
      <w:r w:rsidRPr="00CB191F">
        <w:rPr>
          <w:rFonts w:cs="Arial"/>
          <w:b/>
          <w:color w:val="000000" w:themeColor="text1"/>
          <w:sz w:val="22"/>
          <w:szCs w:val="16"/>
        </w:rPr>
        <w:lastRenderedPageBreak/>
        <w:t>Kontakt</w:t>
      </w:r>
      <w:r w:rsidR="0092693C" w:rsidRPr="00CB191F">
        <w:rPr>
          <w:rFonts w:cs="Arial"/>
          <w:b/>
          <w:color w:val="000000" w:themeColor="text1"/>
          <w:sz w:val="22"/>
          <w:szCs w:val="16"/>
        </w:rPr>
        <w:t>:</w:t>
      </w:r>
    </w:p>
    <w:p w:rsidR="006F170F" w:rsidRPr="00CB191F" w:rsidRDefault="007F4261" w:rsidP="00327158">
      <w:pPr>
        <w:pStyle w:val="Rahmeninhalt"/>
        <w:tabs>
          <w:tab w:val="left" w:pos="0"/>
        </w:tabs>
        <w:spacing w:after="57" w:line="280" w:lineRule="exact"/>
        <w:ind w:right="-31"/>
        <w:rPr>
          <w:rFonts w:cs="Arial"/>
          <w:color w:val="000000" w:themeColor="text1"/>
          <w:sz w:val="22"/>
          <w:szCs w:val="16"/>
        </w:rPr>
      </w:pPr>
      <w:r w:rsidRPr="00CB191F">
        <w:rPr>
          <w:rFonts w:cs="Arial"/>
          <w:color w:val="000000" w:themeColor="text1"/>
          <w:sz w:val="22"/>
          <w:szCs w:val="16"/>
        </w:rPr>
        <w:t>VESF e. V.</w:t>
      </w:r>
      <w:r w:rsidR="0092693C" w:rsidRPr="00CB191F">
        <w:rPr>
          <w:rFonts w:cs="Arial"/>
          <w:color w:val="000000" w:themeColor="text1"/>
          <w:sz w:val="22"/>
          <w:szCs w:val="16"/>
        </w:rPr>
        <w:br/>
      </w:r>
      <w:r w:rsidRPr="00CB191F">
        <w:rPr>
          <w:rFonts w:cs="Arial"/>
          <w:color w:val="000000" w:themeColor="text1"/>
          <w:sz w:val="22"/>
          <w:szCs w:val="16"/>
        </w:rPr>
        <w:t>Ringstraße 21</w:t>
      </w:r>
      <w:r w:rsidR="0092693C" w:rsidRPr="00CB191F">
        <w:rPr>
          <w:rFonts w:cs="Arial"/>
          <w:color w:val="000000" w:themeColor="text1"/>
          <w:sz w:val="22"/>
          <w:szCs w:val="16"/>
        </w:rPr>
        <w:br/>
      </w:r>
      <w:r w:rsidRPr="00CB191F">
        <w:rPr>
          <w:rFonts w:cs="Arial"/>
          <w:color w:val="000000" w:themeColor="text1"/>
          <w:sz w:val="22"/>
          <w:szCs w:val="16"/>
        </w:rPr>
        <w:t>56651 Niederdürenbach</w:t>
      </w:r>
      <w:r w:rsidR="0092693C" w:rsidRPr="00CB191F">
        <w:rPr>
          <w:rFonts w:cs="Arial"/>
          <w:color w:val="000000" w:themeColor="text1"/>
          <w:sz w:val="22"/>
          <w:szCs w:val="16"/>
        </w:rPr>
        <w:br/>
      </w:r>
      <w:r w:rsidRPr="00CB191F">
        <w:rPr>
          <w:rFonts w:cs="Arial"/>
          <w:color w:val="000000" w:themeColor="text1"/>
          <w:sz w:val="22"/>
          <w:szCs w:val="16"/>
        </w:rPr>
        <w:t>Deutschland</w:t>
      </w:r>
    </w:p>
    <w:p w:rsidR="0092693C" w:rsidRPr="00CB191F" w:rsidRDefault="007F4261" w:rsidP="00327158">
      <w:pPr>
        <w:pStyle w:val="Rahmeninhalt"/>
        <w:tabs>
          <w:tab w:val="left" w:pos="0"/>
        </w:tabs>
        <w:spacing w:after="57" w:line="280" w:lineRule="exact"/>
        <w:ind w:right="-31"/>
        <w:rPr>
          <w:rFonts w:cs="Arial"/>
          <w:color w:val="000000" w:themeColor="text1"/>
          <w:sz w:val="22"/>
        </w:rPr>
      </w:pPr>
      <w:r w:rsidRPr="00CB191F">
        <w:rPr>
          <w:rFonts w:cs="Arial"/>
          <w:color w:val="000000" w:themeColor="text1"/>
          <w:sz w:val="36"/>
        </w:rPr>
        <w:br w:type="column"/>
      </w:r>
    </w:p>
    <w:p w:rsidR="006F170F" w:rsidRPr="000E46E6" w:rsidRDefault="007F4261" w:rsidP="00E27DCB">
      <w:pPr>
        <w:pStyle w:val="Rahmeninhalt"/>
        <w:tabs>
          <w:tab w:val="left" w:pos="0"/>
          <w:tab w:val="left" w:pos="567"/>
        </w:tabs>
        <w:spacing w:after="57" w:line="280" w:lineRule="exact"/>
        <w:ind w:right="-31"/>
        <w:rPr>
          <w:rFonts w:cs="Arial"/>
          <w:color w:val="000000" w:themeColor="text1"/>
          <w:sz w:val="22"/>
          <w:szCs w:val="16"/>
          <w:lang w:val="en-US"/>
        </w:rPr>
      </w:pPr>
      <w:r w:rsidRPr="000E46E6">
        <w:rPr>
          <w:rFonts w:cs="Arial"/>
          <w:color w:val="000000" w:themeColor="text1"/>
          <w:sz w:val="22"/>
          <w:szCs w:val="16"/>
          <w:lang w:val="en-US"/>
        </w:rPr>
        <w:t>Tel:</w:t>
      </w:r>
      <w:r w:rsidR="0092693C" w:rsidRPr="000E46E6">
        <w:rPr>
          <w:rFonts w:cs="Arial"/>
          <w:color w:val="000000" w:themeColor="text1"/>
          <w:sz w:val="22"/>
          <w:szCs w:val="16"/>
          <w:lang w:val="en-US"/>
        </w:rPr>
        <w:tab/>
      </w:r>
      <w:r w:rsidRPr="000E46E6">
        <w:rPr>
          <w:rFonts w:cs="Arial"/>
          <w:color w:val="000000" w:themeColor="text1"/>
          <w:sz w:val="22"/>
          <w:szCs w:val="16"/>
          <w:lang w:val="en-US"/>
        </w:rPr>
        <w:t>+49 2636 9419</w:t>
      </w:r>
      <w:r w:rsidR="0092693C" w:rsidRPr="000E46E6">
        <w:rPr>
          <w:rFonts w:cs="Arial"/>
          <w:color w:val="000000" w:themeColor="text1"/>
          <w:sz w:val="22"/>
          <w:szCs w:val="16"/>
          <w:lang w:val="en-US"/>
        </w:rPr>
        <w:t xml:space="preserve"> </w:t>
      </w:r>
      <w:r w:rsidRPr="000E46E6">
        <w:rPr>
          <w:rFonts w:cs="Arial"/>
          <w:color w:val="000000" w:themeColor="text1"/>
          <w:sz w:val="22"/>
          <w:szCs w:val="16"/>
          <w:lang w:val="en-US"/>
        </w:rPr>
        <w:t>118</w:t>
      </w:r>
      <w:r w:rsidR="0092693C" w:rsidRPr="000E46E6">
        <w:rPr>
          <w:rFonts w:cs="Arial"/>
          <w:color w:val="000000" w:themeColor="text1"/>
          <w:sz w:val="22"/>
          <w:szCs w:val="16"/>
          <w:lang w:val="en-US"/>
        </w:rPr>
        <w:br/>
      </w:r>
      <w:r w:rsidRPr="000E46E6">
        <w:rPr>
          <w:rFonts w:cs="Arial"/>
          <w:color w:val="000000" w:themeColor="text1"/>
          <w:sz w:val="22"/>
          <w:szCs w:val="16"/>
          <w:lang w:val="en-US"/>
        </w:rPr>
        <w:t>Fax:</w:t>
      </w:r>
      <w:r w:rsidR="0092693C" w:rsidRPr="000E46E6">
        <w:rPr>
          <w:rFonts w:cs="Arial"/>
          <w:color w:val="000000" w:themeColor="text1"/>
          <w:sz w:val="22"/>
          <w:szCs w:val="16"/>
          <w:lang w:val="en-US"/>
        </w:rPr>
        <w:tab/>
      </w:r>
      <w:r w:rsidRPr="000E46E6">
        <w:rPr>
          <w:rFonts w:cs="Arial"/>
          <w:color w:val="000000" w:themeColor="text1"/>
          <w:sz w:val="22"/>
          <w:szCs w:val="16"/>
          <w:lang w:val="en-US"/>
        </w:rPr>
        <w:t>+49 2636 9419</w:t>
      </w:r>
      <w:r w:rsidR="0092693C" w:rsidRPr="000E46E6">
        <w:rPr>
          <w:rFonts w:cs="Arial"/>
          <w:color w:val="000000" w:themeColor="text1"/>
          <w:sz w:val="22"/>
          <w:szCs w:val="16"/>
          <w:lang w:val="en-US"/>
        </w:rPr>
        <w:t xml:space="preserve"> </w:t>
      </w:r>
      <w:r w:rsidRPr="000E46E6">
        <w:rPr>
          <w:rFonts w:cs="Arial"/>
          <w:color w:val="000000" w:themeColor="text1"/>
          <w:sz w:val="22"/>
          <w:szCs w:val="16"/>
          <w:lang w:val="en-US"/>
        </w:rPr>
        <w:t>040</w:t>
      </w:r>
      <w:r w:rsidR="0092693C" w:rsidRPr="000E46E6">
        <w:rPr>
          <w:rFonts w:cs="Arial"/>
          <w:color w:val="000000" w:themeColor="text1"/>
          <w:sz w:val="22"/>
          <w:szCs w:val="16"/>
          <w:lang w:val="en-US"/>
        </w:rPr>
        <w:br/>
      </w:r>
      <w:hyperlink r:id="rId9" w:history="1">
        <w:r w:rsidR="0092693C" w:rsidRPr="000E46E6">
          <w:rPr>
            <w:rStyle w:val="Hyperlink"/>
            <w:rFonts w:cs="Arial"/>
            <w:color w:val="000000" w:themeColor="text1"/>
            <w:sz w:val="22"/>
            <w:szCs w:val="16"/>
            <w:u w:val="none"/>
            <w:lang w:val="en-US"/>
          </w:rPr>
          <w:t>info@www.vesf-ev.com</w:t>
        </w:r>
      </w:hyperlink>
      <w:r w:rsidR="0092693C" w:rsidRPr="000E46E6">
        <w:rPr>
          <w:rFonts w:cs="Arial"/>
          <w:color w:val="000000" w:themeColor="text1"/>
          <w:sz w:val="22"/>
          <w:szCs w:val="16"/>
          <w:lang w:val="en-US"/>
        </w:rPr>
        <w:br/>
      </w:r>
      <w:r w:rsidRPr="000E46E6">
        <w:rPr>
          <w:rFonts w:cs="Arial"/>
          <w:color w:val="000000" w:themeColor="text1"/>
          <w:sz w:val="22"/>
          <w:szCs w:val="16"/>
          <w:lang w:val="en-US"/>
        </w:rPr>
        <w:t>www.vesf-ev.com</w:t>
      </w:r>
    </w:p>
    <w:p w:rsidR="006F170F" w:rsidRPr="000E46E6" w:rsidRDefault="006F170F" w:rsidP="00327158">
      <w:pPr>
        <w:pStyle w:val="Rahmeninhalt"/>
        <w:tabs>
          <w:tab w:val="left" w:pos="0"/>
        </w:tabs>
        <w:spacing w:after="57" w:line="280" w:lineRule="exact"/>
        <w:ind w:right="-31"/>
        <w:rPr>
          <w:rFonts w:cs="Arial"/>
          <w:color w:val="000000" w:themeColor="text1"/>
          <w:sz w:val="18"/>
          <w:szCs w:val="16"/>
          <w:lang w:val="en-US"/>
        </w:rPr>
      </w:pPr>
    </w:p>
    <w:p w:rsidR="00C5161C" w:rsidRPr="000E46E6" w:rsidRDefault="00C5161C" w:rsidP="00327158">
      <w:pPr>
        <w:pStyle w:val="Rahmeninhalt"/>
        <w:tabs>
          <w:tab w:val="left" w:pos="0"/>
          <w:tab w:val="left" w:pos="960"/>
        </w:tabs>
        <w:spacing w:after="57" w:line="280" w:lineRule="exact"/>
        <w:rPr>
          <w:rFonts w:cs="Arial"/>
          <w:color w:val="2E37F1"/>
          <w:sz w:val="18"/>
          <w:szCs w:val="16"/>
          <w:lang w:val="en-US"/>
        </w:rPr>
        <w:sectPr w:rsidR="00C5161C" w:rsidRPr="000E46E6" w:rsidSect="00B10437">
          <w:type w:val="continuous"/>
          <w:pgSz w:w="11906" w:h="16838"/>
          <w:pgMar w:top="397" w:right="473" w:bottom="1660" w:left="1418" w:header="0" w:footer="726" w:gutter="0"/>
          <w:cols w:num="3" w:space="93"/>
          <w:formProt w:val="0"/>
          <w:docGrid w:linePitch="360"/>
        </w:sectPr>
      </w:pPr>
    </w:p>
    <w:p w:rsidR="006F170F" w:rsidRPr="000E46E6" w:rsidRDefault="006F170F" w:rsidP="00327158">
      <w:pPr>
        <w:tabs>
          <w:tab w:val="left" w:pos="0"/>
        </w:tabs>
        <w:spacing w:line="280" w:lineRule="exact"/>
        <w:rPr>
          <w:rFonts w:cs="Arial"/>
          <w:sz w:val="28"/>
          <w:lang w:val="en-US"/>
        </w:rPr>
        <w:sectPr w:rsidR="006F170F" w:rsidRPr="000E46E6" w:rsidSect="00B10437">
          <w:type w:val="continuous"/>
          <w:pgSz w:w="11906" w:h="16838"/>
          <w:pgMar w:top="397" w:right="473" w:bottom="1660" w:left="1418" w:header="0" w:footer="726" w:gutter="0"/>
          <w:cols w:num="2" w:space="93"/>
          <w:formProt w:val="0"/>
          <w:docGrid w:linePitch="360"/>
        </w:sectPr>
      </w:pPr>
    </w:p>
    <w:p w:rsidR="006F170F" w:rsidRPr="000E46E6" w:rsidRDefault="006F170F" w:rsidP="00991DB9">
      <w:pPr>
        <w:pStyle w:val="Rahmeninhalt"/>
        <w:tabs>
          <w:tab w:val="left" w:pos="960"/>
        </w:tabs>
        <w:spacing w:after="57"/>
        <w:ind w:left="284"/>
        <w:rPr>
          <w:rFonts w:ascii="Verdana" w:hAnsi="Verdana"/>
          <w:color w:val="2E37F1"/>
          <w:sz w:val="16"/>
          <w:szCs w:val="16"/>
          <w:lang w:val="en-US"/>
        </w:rPr>
      </w:pPr>
    </w:p>
    <w:sectPr w:rsidR="006F170F" w:rsidRPr="000E46E6" w:rsidSect="00B10437">
      <w:type w:val="continuous"/>
      <w:pgSz w:w="11906" w:h="16838"/>
      <w:pgMar w:top="397" w:right="473" w:bottom="1660" w:left="1134" w:header="0" w:footer="72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7FC" w:rsidRDefault="002D17FC" w:rsidP="006F170F">
      <w:r>
        <w:separator/>
      </w:r>
    </w:p>
  </w:endnote>
  <w:endnote w:type="continuationSeparator" w:id="0">
    <w:p w:rsidR="002D17FC" w:rsidRDefault="002D17FC" w:rsidP="006F17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Arial Unicode M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tarSymbol;Arial Unicode MS">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FC" w:rsidRPr="00991DB9" w:rsidRDefault="002D17FC" w:rsidP="00B10437">
    <w:pPr>
      <w:pStyle w:val="Fuzeile"/>
      <w:tabs>
        <w:tab w:val="clear" w:pos="10299"/>
        <w:tab w:val="center" w:pos="4536"/>
      </w:tabs>
      <w:rPr>
        <w:rFonts w:cs="Arial"/>
        <w:sz w:val="20"/>
        <w:szCs w:val="20"/>
      </w:rPr>
    </w:pPr>
    <w:r>
      <w:rPr>
        <w:rFonts w:cs="Arial"/>
        <w:sz w:val="20"/>
        <w:szCs w:val="20"/>
      </w:rPr>
      <w:tab/>
    </w:r>
    <w:r w:rsidRPr="00991DB9">
      <w:rPr>
        <w:rFonts w:cs="Arial"/>
        <w:sz w:val="20"/>
        <w:szCs w:val="20"/>
      </w:rPr>
      <w:t xml:space="preserve">Seite </w:t>
    </w:r>
    <w:r w:rsidR="00CA7962" w:rsidRPr="00991DB9">
      <w:rPr>
        <w:rFonts w:cs="Arial"/>
        <w:sz w:val="20"/>
        <w:szCs w:val="20"/>
      </w:rPr>
      <w:fldChar w:fldCharType="begin"/>
    </w:r>
    <w:r w:rsidRPr="00991DB9">
      <w:rPr>
        <w:rFonts w:cs="Arial"/>
        <w:sz w:val="20"/>
        <w:szCs w:val="20"/>
      </w:rPr>
      <w:instrText>PAGE</w:instrText>
    </w:r>
    <w:r w:rsidR="00CA7962" w:rsidRPr="00991DB9">
      <w:rPr>
        <w:rFonts w:cs="Arial"/>
        <w:sz w:val="20"/>
        <w:szCs w:val="20"/>
      </w:rPr>
      <w:fldChar w:fldCharType="separate"/>
    </w:r>
    <w:r w:rsidR="00157F03">
      <w:rPr>
        <w:rFonts w:cs="Arial"/>
        <w:noProof/>
        <w:sz w:val="20"/>
        <w:szCs w:val="20"/>
      </w:rPr>
      <w:t>1</w:t>
    </w:r>
    <w:r w:rsidR="00CA7962" w:rsidRPr="00991DB9">
      <w:rPr>
        <w:rFonts w:cs="Arial"/>
        <w:sz w:val="20"/>
        <w:szCs w:val="20"/>
      </w:rPr>
      <w:fldChar w:fldCharType="end"/>
    </w:r>
    <w:r w:rsidRPr="00991DB9">
      <w:rPr>
        <w:rFonts w:cs="Arial"/>
        <w:sz w:val="20"/>
        <w:szCs w:val="20"/>
      </w:rPr>
      <w:t xml:space="preserve"> von </w:t>
    </w:r>
    <w:r w:rsidR="00CA7962" w:rsidRPr="00991DB9">
      <w:rPr>
        <w:rFonts w:cs="Arial"/>
        <w:sz w:val="20"/>
        <w:szCs w:val="20"/>
      </w:rPr>
      <w:fldChar w:fldCharType="begin"/>
    </w:r>
    <w:r w:rsidRPr="00991DB9">
      <w:rPr>
        <w:rFonts w:cs="Arial"/>
        <w:sz w:val="20"/>
        <w:szCs w:val="20"/>
      </w:rPr>
      <w:instrText>NUMPAGES</w:instrText>
    </w:r>
    <w:r w:rsidR="00CA7962" w:rsidRPr="00991DB9">
      <w:rPr>
        <w:rFonts w:cs="Arial"/>
        <w:sz w:val="20"/>
        <w:szCs w:val="20"/>
      </w:rPr>
      <w:fldChar w:fldCharType="separate"/>
    </w:r>
    <w:r w:rsidR="00157F03">
      <w:rPr>
        <w:rFonts w:cs="Arial"/>
        <w:noProof/>
        <w:sz w:val="20"/>
        <w:szCs w:val="20"/>
      </w:rPr>
      <w:t>2</w:t>
    </w:r>
    <w:r w:rsidR="00CA7962" w:rsidRPr="00991DB9">
      <w:rPr>
        <w:rFonts w:cs="Arial"/>
        <w:sz w:val="20"/>
        <w:szCs w:val="20"/>
      </w:rPr>
      <w:fldChar w:fldCharType="end"/>
    </w:r>
    <w:r>
      <w:rPr>
        <w:rFonts w:cs="Arial"/>
        <w:sz w:val="20"/>
        <w:szCs w:val="20"/>
      </w:rPr>
      <w:tab/>
    </w:r>
    <w:r>
      <w:rPr>
        <w:rFonts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7FC" w:rsidRDefault="002D17FC" w:rsidP="006F170F">
      <w:r>
        <w:separator/>
      </w:r>
    </w:p>
  </w:footnote>
  <w:footnote w:type="continuationSeparator" w:id="0">
    <w:p w:rsidR="002D17FC" w:rsidRDefault="002D17FC" w:rsidP="006F1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FC" w:rsidRPr="00095A64" w:rsidRDefault="002D17FC" w:rsidP="00C07478">
    <w:pPr>
      <w:tabs>
        <w:tab w:val="left" w:pos="5944"/>
      </w:tabs>
      <w:rPr>
        <w:rFonts w:ascii="Verdana" w:hAnsi="Verdana"/>
        <w:b/>
        <w:bCs/>
        <w:color w:val="2E37F1"/>
        <w:sz w:val="32"/>
        <w:szCs w:val="48"/>
      </w:rPr>
    </w:pPr>
  </w:p>
  <w:p w:rsidR="002D17FC" w:rsidRPr="00991DB9" w:rsidRDefault="002D17FC" w:rsidP="00C07478">
    <w:pPr>
      <w:tabs>
        <w:tab w:val="left" w:pos="5944"/>
      </w:tabs>
      <w:spacing w:before="240" w:after="100" w:afterAutospacing="1"/>
      <w:rPr>
        <w:rFonts w:ascii="Verdana" w:hAnsi="Verdana"/>
        <w:b/>
        <w:bCs/>
        <w:color w:val="2E37F1"/>
        <w:sz w:val="28"/>
        <w:szCs w:val="48"/>
      </w:rPr>
    </w:pPr>
    <w:r w:rsidRPr="00991DB9">
      <w:rPr>
        <w:rFonts w:ascii="Verdana" w:hAnsi="Verdana"/>
        <w:b/>
        <w:bCs/>
        <w:noProof/>
        <w:color w:val="2E37F1"/>
        <w:sz w:val="28"/>
        <w:szCs w:val="48"/>
        <w:lang w:bidi="ar-SA"/>
      </w:rPr>
      <w:drawing>
        <wp:anchor distT="0" distB="0" distL="0" distR="0" simplePos="0" relativeHeight="251659264" behindDoc="0" locked="0" layoutInCell="1" allowOverlap="1">
          <wp:simplePos x="0" y="0"/>
          <wp:positionH relativeFrom="column">
            <wp:posOffset>4368165</wp:posOffset>
          </wp:positionH>
          <wp:positionV relativeFrom="paragraph">
            <wp:posOffset>99695</wp:posOffset>
          </wp:positionV>
          <wp:extent cx="1683385" cy="362585"/>
          <wp:effectExtent l="19050" t="0" r="0" b="0"/>
          <wp:wrapSquare wrapText="largest"/>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cstate="print"/>
                  <a:stretch>
                    <a:fillRect/>
                  </a:stretch>
                </pic:blipFill>
                <pic:spPr bwMode="auto">
                  <a:xfrm>
                    <a:off x="0" y="0"/>
                    <a:ext cx="1683385" cy="362585"/>
                  </a:xfrm>
                  <a:prstGeom prst="rect">
                    <a:avLst/>
                  </a:prstGeom>
                  <a:noFill/>
                  <a:ln w="9525">
                    <a:noFill/>
                    <a:miter lim="800000"/>
                    <a:headEnd/>
                    <a:tailEnd/>
                  </a:ln>
                </pic:spPr>
              </pic:pic>
            </a:graphicData>
          </a:graphic>
        </wp:anchor>
      </w:drawing>
    </w:r>
    <w:r w:rsidRPr="00991DB9">
      <w:rPr>
        <w:rFonts w:ascii="Verdana" w:hAnsi="Verdana"/>
        <w:b/>
        <w:bCs/>
        <w:color w:val="2E37F1"/>
        <w:sz w:val="28"/>
        <w:szCs w:val="48"/>
      </w:rPr>
      <w:t>Pressemitteilung   |   Press Release</w:t>
    </w:r>
  </w:p>
  <w:p w:rsidR="002D17FC" w:rsidRPr="00991DB9" w:rsidRDefault="002D17FC" w:rsidP="00C07478">
    <w:pPr>
      <w:tabs>
        <w:tab w:val="left" w:pos="5944"/>
      </w:tabs>
      <w:rPr>
        <w:rFonts w:ascii="Verdana" w:hAnsi="Verdana"/>
        <w:b/>
        <w:bCs/>
        <w:noProof/>
        <w:color w:val="2E37F1"/>
        <w:sz w:val="12"/>
        <w:szCs w:val="48"/>
        <w:lang w:bidi="ar-SA"/>
      </w:rPr>
    </w:pPr>
  </w:p>
  <w:p w:rsidR="002D17FC" w:rsidRPr="00C5161C" w:rsidRDefault="002D17FC" w:rsidP="00C07478">
    <w:pPr>
      <w:pBdr>
        <w:top w:val="single" w:sz="8" w:space="1" w:color="0000FF"/>
        <w:bottom w:val="single" w:sz="8" w:space="1" w:color="0000FF"/>
      </w:pBdr>
      <w:tabs>
        <w:tab w:val="left" w:pos="5944"/>
      </w:tabs>
      <w:spacing w:after="113"/>
      <w:rPr>
        <w:sz w:val="22"/>
      </w:rPr>
    </w:pPr>
    <w:r w:rsidRPr="00C5161C">
      <w:rPr>
        <w:rFonts w:ascii="Verdana" w:hAnsi="Verdana"/>
        <w:b/>
        <w:bCs/>
        <w:i/>
        <w:iCs/>
        <w:color w:val="2E37F1"/>
        <w:sz w:val="22"/>
      </w:rPr>
      <w:t>Verband Europäischer Straßenfräsunternehmungen e.V.</w:t>
    </w:r>
  </w:p>
  <w:p w:rsidR="002D17FC" w:rsidRPr="00C5161C" w:rsidRDefault="002D17FC" w:rsidP="00C07478">
    <w:pPr>
      <w:pBdr>
        <w:top w:val="single" w:sz="8" w:space="1" w:color="0000FF"/>
        <w:bottom w:val="single" w:sz="8" w:space="1" w:color="0000FF"/>
      </w:pBdr>
      <w:tabs>
        <w:tab w:val="left" w:pos="5944"/>
      </w:tabs>
      <w:spacing w:after="113"/>
      <w:jc w:val="right"/>
      <w:rPr>
        <w:rFonts w:ascii="Verdana" w:hAnsi="Verdana"/>
        <w:b/>
        <w:bCs/>
        <w:i/>
        <w:iCs/>
        <w:color w:val="2E37F1"/>
        <w:sz w:val="22"/>
        <w:lang w:val="en-US"/>
      </w:rPr>
    </w:pPr>
    <w:r w:rsidRPr="00C5161C">
      <w:rPr>
        <w:rFonts w:ascii="Verdana" w:hAnsi="Verdana"/>
        <w:b/>
        <w:bCs/>
        <w:i/>
        <w:iCs/>
        <w:color w:val="2E37F1"/>
        <w:sz w:val="22"/>
        <w:lang w:val="en-US"/>
      </w:rPr>
      <w:t>Association of European Road Milling Enterprises</w:t>
    </w:r>
  </w:p>
  <w:p w:rsidR="002D17FC" w:rsidRPr="000E46E6" w:rsidRDefault="002D17FC">
    <w:pPr>
      <w:pStyle w:val="Kopfzeile"/>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9"/>
  <w:hyphenationZone w:val="425"/>
  <w:characterSpacingControl w:val="doNotCompress"/>
  <w:savePreviewPicture/>
  <w:hdrShapeDefaults>
    <o:shapedefaults v:ext="edit" spidmax="4097"/>
  </w:hdrShapeDefaults>
  <w:footnotePr>
    <w:footnote w:id="-1"/>
    <w:footnote w:id="0"/>
  </w:footnotePr>
  <w:endnotePr>
    <w:endnote w:id="-1"/>
    <w:endnote w:id="0"/>
  </w:endnotePr>
  <w:compat/>
  <w:rsids>
    <w:rsidRoot w:val="006F170F"/>
    <w:rsid w:val="00095A64"/>
    <w:rsid w:val="000B67E4"/>
    <w:rsid w:val="000E46E6"/>
    <w:rsid w:val="00157F03"/>
    <w:rsid w:val="002D17FC"/>
    <w:rsid w:val="002E5160"/>
    <w:rsid w:val="003063B4"/>
    <w:rsid w:val="00327158"/>
    <w:rsid w:val="005B20C1"/>
    <w:rsid w:val="006F170F"/>
    <w:rsid w:val="007F4261"/>
    <w:rsid w:val="00917D71"/>
    <w:rsid w:val="0092693C"/>
    <w:rsid w:val="00991DB9"/>
    <w:rsid w:val="009950F5"/>
    <w:rsid w:val="00A5361B"/>
    <w:rsid w:val="00B10437"/>
    <w:rsid w:val="00B12CE8"/>
    <w:rsid w:val="00B168D0"/>
    <w:rsid w:val="00B811F0"/>
    <w:rsid w:val="00B85F0D"/>
    <w:rsid w:val="00C07478"/>
    <w:rsid w:val="00C5161C"/>
    <w:rsid w:val="00CA7962"/>
    <w:rsid w:val="00CB191F"/>
    <w:rsid w:val="00D51790"/>
    <w:rsid w:val="00D54A38"/>
    <w:rsid w:val="00E27D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ndale Sans UI" w:hAnsi="Arial" w:cs="Tahoma"/>
        <w:szCs w:val="24"/>
        <w:lang w:val="de-DE" w:eastAsia="de-DE" w:bidi="de-D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6F170F"/>
    <w:pPr>
      <w:widowControl w:val="0"/>
      <w:suppressAutoHyphens/>
    </w:pPr>
    <w:rPr>
      <w:rFonts w:eastAsia="Andale Sans UI;Arial Unicode M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rsid w:val="006F170F"/>
  </w:style>
  <w:style w:type="character" w:customStyle="1" w:styleId="Aufzhlungszeichen1">
    <w:name w:val="Aufzählungszeichen1"/>
    <w:rsid w:val="006F170F"/>
    <w:rPr>
      <w:rFonts w:ascii="StarSymbol;Arial Unicode MS" w:eastAsia="StarSymbol;Arial Unicode MS" w:hAnsi="StarSymbol;Arial Unicode MS" w:cs="StarSymbol;Arial Unicode MS"/>
      <w:sz w:val="18"/>
      <w:szCs w:val="18"/>
    </w:rPr>
  </w:style>
  <w:style w:type="character" w:customStyle="1" w:styleId="WW-Absatz-Standardschriftart">
    <w:name w:val="WW-Absatz-Standardschriftart"/>
    <w:rsid w:val="006F170F"/>
  </w:style>
  <w:style w:type="paragraph" w:styleId="Textkrper">
    <w:name w:val="Body Text"/>
    <w:basedOn w:val="Standard"/>
    <w:rsid w:val="006F170F"/>
    <w:pPr>
      <w:spacing w:after="120"/>
    </w:pPr>
  </w:style>
  <w:style w:type="paragraph" w:styleId="Liste">
    <w:name w:val="List"/>
    <w:basedOn w:val="Textkrper"/>
    <w:rsid w:val="006F170F"/>
  </w:style>
  <w:style w:type="paragraph" w:styleId="Beschriftung">
    <w:name w:val="caption"/>
    <w:basedOn w:val="Standard"/>
    <w:rsid w:val="006F170F"/>
    <w:pPr>
      <w:suppressLineNumbers/>
      <w:spacing w:before="120" w:after="120"/>
    </w:pPr>
    <w:rPr>
      <w:i/>
      <w:iCs/>
      <w:sz w:val="20"/>
      <w:szCs w:val="20"/>
    </w:rPr>
  </w:style>
  <w:style w:type="paragraph" w:customStyle="1" w:styleId="Rahmeninhalt">
    <w:name w:val="Rahmeninhalt"/>
    <w:basedOn w:val="Textkrper"/>
    <w:rsid w:val="006F170F"/>
  </w:style>
  <w:style w:type="paragraph" w:customStyle="1" w:styleId="Verzeichnis">
    <w:name w:val="Verzeichnis"/>
    <w:basedOn w:val="Standard"/>
    <w:rsid w:val="006F170F"/>
    <w:pPr>
      <w:suppressLineNumbers/>
    </w:pPr>
  </w:style>
  <w:style w:type="paragraph" w:styleId="Fuzeile">
    <w:name w:val="footer"/>
    <w:basedOn w:val="Standard"/>
    <w:rsid w:val="006F170F"/>
    <w:pPr>
      <w:suppressLineNumbers/>
      <w:tabs>
        <w:tab w:val="center" w:pos="5149"/>
        <w:tab w:val="right" w:pos="10299"/>
      </w:tabs>
    </w:pPr>
  </w:style>
  <w:style w:type="paragraph" w:styleId="Kopfzeile">
    <w:name w:val="header"/>
    <w:basedOn w:val="Standard"/>
    <w:link w:val="KopfzeileZchn"/>
    <w:uiPriority w:val="99"/>
    <w:semiHidden/>
    <w:unhideWhenUsed/>
    <w:rsid w:val="007F4261"/>
    <w:pPr>
      <w:tabs>
        <w:tab w:val="center" w:pos="4536"/>
        <w:tab w:val="right" w:pos="9072"/>
      </w:tabs>
    </w:pPr>
  </w:style>
  <w:style w:type="character" w:customStyle="1" w:styleId="KopfzeileZchn">
    <w:name w:val="Kopfzeile Zchn"/>
    <w:basedOn w:val="Absatz-Standardschriftart"/>
    <w:link w:val="Kopfzeile"/>
    <w:uiPriority w:val="99"/>
    <w:semiHidden/>
    <w:rsid w:val="007F4261"/>
    <w:rPr>
      <w:rFonts w:eastAsia="Andale Sans UI;Arial Unicode MS"/>
      <w:sz w:val="24"/>
    </w:rPr>
  </w:style>
  <w:style w:type="character" w:styleId="Hyperlink">
    <w:name w:val="Hyperlink"/>
    <w:basedOn w:val="Absatz-Standardschriftart"/>
    <w:uiPriority w:val="99"/>
    <w:unhideWhenUsed/>
    <w:rsid w:val="0092693C"/>
    <w:rPr>
      <w:color w:val="0000FF" w:themeColor="hyperlink"/>
      <w:u w:val="single"/>
    </w:rPr>
  </w:style>
  <w:style w:type="table" w:styleId="Tabellengitternetz">
    <w:name w:val="Table Grid"/>
    <w:basedOn w:val="NormaleTabelle"/>
    <w:uiPriority w:val="59"/>
    <w:rsid w:val="00B16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www.vesf-e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dc:creator>
  <cp:lastModifiedBy>Jutta Dietz</cp:lastModifiedBy>
  <cp:revision>6</cp:revision>
  <cp:lastPrinted>2018-09-19T08:56:00Z</cp:lastPrinted>
  <dcterms:created xsi:type="dcterms:W3CDTF">2018-09-19T08:52:00Z</dcterms:created>
  <dcterms:modified xsi:type="dcterms:W3CDTF">2018-09-19T08:57:00Z</dcterms:modified>
  <dc:language>de-DE</dc:language>
</cp:coreProperties>
</file>