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70F" w:rsidRPr="00CB191F" w:rsidRDefault="00361202" w:rsidP="00A5361B">
      <w:pPr>
        <w:tabs>
          <w:tab w:val="left" w:pos="5944"/>
          <w:tab w:val="left" w:pos="7250"/>
          <w:tab w:val="left" w:pos="7953"/>
        </w:tabs>
        <w:ind w:right="567"/>
        <w:rPr>
          <w:rFonts w:cs="Arial"/>
          <w:i/>
          <w:sz w:val="22"/>
          <w:szCs w:val="20"/>
        </w:rPr>
      </w:pPr>
      <w:r>
        <w:rPr>
          <w:rFonts w:cs="Arial"/>
          <w:i/>
          <w:sz w:val="22"/>
          <w:szCs w:val="20"/>
        </w:rPr>
        <w:t>Mai</w:t>
      </w:r>
      <w:r w:rsidR="00C07478" w:rsidRPr="00CB191F">
        <w:rPr>
          <w:rFonts w:cs="Arial"/>
          <w:i/>
          <w:sz w:val="22"/>
          <w:szCs w:val="20"/>
        </w:rPr>
        <w:t xml:space="preserve"> 2014</w:t>
      </w:r>
    </w:p>
    <w:p w:rsidR="00C07478" w:rsidRPr="00CB191F" w:rsidRDefault="00C07478" w:rsidP="00A5361B">
      <w:pPr>
        <w:tabs>
          <w:tab w:val="left" w:pos="5944"/>
          <w:tab w:val="left" w:pos="7250"/>
          <w:tab w:val="left" w:pos="7953"/>
        </w:tabs>
        <w:ind w:right="567"/>
        <w:rPr>
          <w:rFonts w:cs="Arial"/>
          <w:sz w:val="22"/>
          <w:szCs w:val="20"/>
        </w:rPr>
      </w:pPr>
    </w:p>
    <w:p w:rsidR="00327158" w:rsidRPr="00CB191F" w:rsidRDefault="00327158" w:rsidP="00A5361B">
      <w:pPr>
        <w:tabs>
          <w:tab w:val="left" w:pos="5944"/>
          <w:tab w:val="left" w:pos="7250"/>
          <w:tab w:val="left" w:pos="7953"/>
        </w:tabs>
        <w:ind w:right="567"/>
        <w:rPr>
          <w:rFonts w:cs="Arial"/>
          <w:sz w:val="22"/>
          <w:szCs w:val="20"/>
        </w:rPr>
      </w:pPr>
    </w:p>
    <w:p w:rsidR="00C07478" w:rsidRPr="00CB191F" w:rsidRDefault="00361202" w:rsidP="00361202">
      <w:pPr>
        <w:tabs>
          <w:tab w:val="left" w:pos="5944"/>
          <w:tab w:val="left" w:pos="7250"/>
          <w:tab w:val="left" w:pos="7953"/>
        </w:tabs>
        <w:spacing w:line="260" w:lineRule="exact"/>
        <w:ind w:right="567"/>
        <w:rPr>
          <w:rFonts w:cs="Arial"/>
          <w:b/>
          <w:sz w:val="22"/>
          <w:szCs w:val="20"/>
        </w:rPr>
      </w:pPr>
      <w:r w:rsidRPr="00361202">
        <w:rPr>
          <w:rFonts w:cs="Arial"/>
          <w:b/>
          <w:sz w:val="22"/>
          <w:szCs w:val="20"/>
        </w:rPr>
        <w:t xml:space="preserve">Verschärfung der Bedingungen für Maschinentransporte erfolgreich gestoppt </w:t>
      </w:r>
    </w:p>
    <w:p w:rsidR="00C07478" w:rsidRPr="00CB191F" w:rsidRDefault="00C07478" w:rsidP="00A5361B">
      <w:pPr>
        <w:tabs>
          <w:tab w:val="left" w:pos="5944"/>
          <w:tab w:val="left" w:pos="7250"/>
          <w:tab w:val="left" w:pos="7953"/>
        </w:tabs>
        <w:spacing w:line="280" w:lineRule="exact"/>
        <w:ind w:right="567"/>
        <w:rPr>
          <w:rFonts w:cs="Arial"/>
          <w:b/>
          <w:sz w:val="22"/>
          <w:szCs w:val="20"/>
        </w:rPr>
      </w:pPr>
    </w:p>
    <w:p w:rsidR="00361202" w:rsidRDefault="00C07478" w:rsidP="00A5361B">
      <w:pPr>
        <w:tabs>
          <w:tab w:val="left" w:pos="5944"/>
          <w:tab w:val="left" w:pos="7250"/>
          <w:tab w:val="left" w:pos="7953"/>
        </w:tabs>
        <w:spacing w:line="280" w:lineRule="exact"/>
        <w:ind w:right="567"/>
        <w:rPr>
          <w:rFonts w:cs="Arial"/>
          <w:i/>
          <w:sz w:val="22"/>
          <w:szCs w:val="20"/>
        </w:rPr>
      </w:pPr>
      <w:r w:rsidRPr="00CB191F">
        <w:rPr>
          <w:rFonts w:cs="Arial"/>
          <w:b/>
          <w:sz w:val="22"/>
          <w:szCs w:val="20"/>
        </w:rPr>
        <w:t>[</w:t>
      </w:r>
      <w:r w:rsidR="00361202">
        <w:rPr>
          <w:rFonts w:cs="Arial"/>
          <w:b/>
          <w:sz w:val="22"/>
          <w:szCs w:val="20"/>
        </w:rPr>
        <w:t>Berlin / Frankfurt /</w:t>
      </w:r>
      <w:r w:rsidRPr="00CB191F">
        <w:rPr>
          <w:rFonts w:cs="Arial"/>
          <w:b/>
          <w:sz w:val="22"/>
          <w:szCs w:val="20"/>
        </w:rPr>
        <w:t xml:space="preserve"> Niederdürenbach] </w:t>
      </w:r>
      <w:r w:rsidR="00361202" w:rsidRPr="00361202">
        <w:rPr>
          <w:rFonts w:cs="Arial"/>
          <w:i/>
          <w:sz w:val="22"/>
          <w:szCs w:val="20"/>
        </w:rPr>
        <w:t>Beim Transport großer Kaltfräsen oder anderer Baumaschinen gibt es zahlreiche Vorgaben des Gesetzgebers. Das Gefahrgutrecht gehörte bisher nicht dazu. Das sollte sich mit Inkrafttreten des Europäischen Übereinkommens über die internationale Beförderung gefährlicher Güter auf der Straße (ADR) 2013 ändern. Dort wurde eine neue „Sondervorschrift SV 363“ eingeführt, die vorschreibt, dass zu transportierende Fahrzeuge mit einem Tankvolumen über 60 l spezielle Kennzeichnungen aufweisen müssen und sie als Gefahrguttransport gelten. Dank des massiven Einsatzes des VESF sind ab 1.1.2015 Baumaschinen von dieser Regelung ausgenommen.</w:t>
      </w:r>
    </w:p>
    <w:p w:rsidR="00C07478" w:rsidRPr="00CB191F" w:rsidRDefault="00C07478" w:rsidP="00A5361B">
      <w:pPr>
        <w:tabs>
          <w:tab w:val="left" w:pos="5944"/>
          <w:tab w:val="left" w:pos="7250"/>
          <w:tab w:val="left" w:pos="7953"/>
        </w:tabs>
        <w:spacing w:line="280" w:lineRule="exact"/>
        <w:ind w:right="567"/>
        <w:rPr>
          <w:rFonts w:cs="Arial"/>
          <w:sz w:val="22"/>
          <w:szCs w:val="20"/>
        </w:rPr>
      </w:pPr>
    </w:p>
    <w:p w:rsidR="00361202" w:rsidRPr="00361202" w:rsidRDefault="00361202" w:rsidP="00361202">
      <w:pPr>
        <w:tabs>
          <w:tab w:val="left" w:pos="5944"/>
          <w:tab w:val="left" w:pos="7250"/>
          <w:tab w:val="left" w:pos="7953"/>
        </w:tabs>
        <w:spacing w:line="280" w:lineRule="exact"/>
        <w:ind w:right="567"/>
        <w:rPr>
          <w:rFonts w:cs="Arial"/>
          <w:sz w:val="22"/>
          <w:szCs w:val="20"/>
        </w:rPr>
      </w:pPr>
      <w:r w:rsidRPr="00361202">
        <w:rPr>
          <w:rFonts w:cs="Arial"/>
          <w:sz w:val="22"/>
          <w:szCs w:val="20"/>
        </w:rPr>
        <w:t xml:space="preserve">Die Neuregelung im ADR 2013 hätte einen erheblichen organisatorischen Aufwand beim Transport von Baumaschinen (zusätzliche Kennzeichnung der Maschinen, Unterweisungen etc.) für die Maschinenbetreiber und -spediteure bedeutet – ohne einen Gewinn an Sicherheit für die Verkehrsteilnehmer. Deshalb ist der VESF gemeinsam mit dem Hauptverband der Deutschen Bauindustrie e.V. (HDB) und der Berufsgenossenschaft der Bauwirtschaft gegen die Einführung dieser Neuregelung engagiert vorgegangen. Aufgrund dieser Bemühungen wurde die neue Regelung in Deutschland zunächst bis zum 30.6.2014 ausgesetzt, so dass die Transporte bislang unverändert weiter gehandhabt werden konnten. </w:t>
      </w:r>
    </w:p>
    <w:p w:rsidR="00361202" w:rsidRPr="00361202" w:rsidRDefault="00361202" w:rsidP="00361202">
      <w:pPr>
        <w:tabs>
          <w:tab w:val="left" w:pos="5944"/>
          <w:tab w:val="left" w:pos="7250"/>
          <w:tab w:val="left" w:pos="7953"/>
        </w:tabs>
        <w:spacing w:line="280" w:lineRule="exact"/>
        <w:ind w:right="567"/>
        <w:rPr>
          <w:rFonts w:cs="Arial"/>
          <w:sz w:val="22"/>
          <w:szCs w:val="20"/>
        </w:rPr>
      </w:pPr>
    </w:p>
    <w:p w:rsidR="00361202" w:rsidRPr="00361202" w:rsidRDefault="00361202" w:rsidP="00361202">
      <w:pPr>
        <w:tabs>
          <w:tab w:val="left" w:pos="5944"/>
          <w:tab w:val="left" w:pos="7250"/>
          <w:tab w:val="left" w:pos="7953"/>
        </w:tabs>
        <w:spacing w:line="280" w:lineRule="exact"/>
        <w:ind w:right="567"/>
        <w:rPr>
          <w:rFonts w:cs="Arial"/>
          <w:sz w:val="22"/>
          <w:szCs w:val="20"/>
        </w:rPr>
      </w:pPr>
      <w:r w:rsidRPr="00361202">
        <w:rPr>
          <w:rFonts w:cs="Arial"/>
          <w:sz w:val="22"/>
          <w:szCs w:val="20"/>
        </w:rPr>
        <w:t>Parallel stellte der VESF einen Antrag auf Freistellung der Baumaschinen von der SV 363 bei den entsprechenden Gremien der UN / ECE in Genf. Diesem Antrag wurde im März 2014 nun in leicht veränderter Form statt gegeben. Die SV 363 ist zwar weiterhin gültig, aber im ADR 1.1.3.3 wird ein Passus eingefügt, der den Transport von „Kraftstoff in …</w:t>
      </w:r>
      <w:r w:rsidR="009636EE">
        <w:rPr>
          <w:rFonts w:cs="Arial"/>
          <w:sz w:val="22"/>
          <w:szCs w:val="20"/>
        </w:rPr>
        <w:t xml:space="preserve"> </w:t>
      </w:r>
      <w:r w:rsidRPr="00361202">
        <w:rPr>
          <w:rFonts w:cs="Arial"/>
          <w:sz w:val="22"/>
          <w:szCs w:val="20"/>
        </w:rPr>
        <w:t>beförderten mobilen Maschinen und Geräten“, von der SV 363 freistellt. Der dort verwendete Ausdruck „mobile Maschinen und Geräte“ beschreibt in diesem Zusammenhang alle Baumaschinen, die der EG-Richtlinie 97/68/EG entsprechen – damit sind alle handelsüblichen Kaltfräsen, Fertiger, Walzen, Radlader, Bagger etc. abgedeckt.</w:t>
      </w:r>
    </w:p>
    <w:p w:rsidR="00361202" w:rsidRPr="00361202" w:rsidRDefault="00361202" w:rsidP="00361202">
      <w:pPr>
        <w:tabs>
          <w:tab w:val="left" w:pos="5944"/>
          <w:tab w:val="left" w:pos="7250"/>
          <w:tab w:val="left" w:pos="7953"/>
        </w:tabs>
        <w:spacing w:line="280" w:lineRule="exact"/>
        <w:ind w:right="567"/>
        <w:rPr>
          <w:rFonts w:cs="Arial"/>
          <w:sz w:val="22"/>
          <w:szCs w:val="20"/>
        </w:rPr>
      </w:pPr>
    </w:p>
    <w:p w:rsidR="00361202" w:rsidRPr="00361202" w:rsidRDefault="00361202" w:rsidP="00361202">
      <w:pPr>
        <w:tabs>
          <w:tab w:val="left" w:pos="5944"/>
          <w:tab w:val="left" w:pos="7250"/>
          <w:tab w:val="left" w:pos="7953"/>
        </w:tabs>
        <w:spacing w:line="280" w:lineRule="exact"/>
        <w:ind w:right="567"/>
        <w:rPr>
          <w:rFonts w:cs="Arial"/>
          <w:sz w:val="22"/>
          <w:szCs w:val="20"/>
        </w:rPr>
      </w:pPr>
      <w:r w:rsidRPr="00361202">
        <w:rPr>
          <w:rFonts w:cs="Arial"/>
          <w:sz w:val="22"/>
          <w:szCs w:val="20"/>
        </w:rPr>
        <w:t>Die im März beschlossenen Änderungen des ADR treten zum 1.1.2015 in Kraft. Bis dahin gilt die oben erwähnte Duldung der Transporte ohne Kennzeichnungen bis 30.6.2014. Das Bundesministerium für Verkehr und digitale Infrastruktur hat eine Verlängerung dieser Duldung für den Zeitraum bis zum 1.1.2015 bereits vorgesehen.</w:t>
      </w:r>
    </w:p>
    <w:p w:rsidR="00991DB9" w:rsidRPr="00CB191F" w:rsidRDefault="00991DB9" w:rsidP="00327158">
      <w:pPr>
        <w:tabs>
          <w:tab w:val="left" w:pos="5944"/>
          <w:tab w:val="left" w:pos="7250"/>
          <w:tab w:val="left" w:pos="7953"/>
        </w:tabs>
        <w:spacing w:line="280" w:lineRule="exact"/>
        <w:rPr>
          <w:rFonts w:cs="Arial"/>
          <w:sz w:val="22"/>
          <w:szCs w:val="20"/>
        </w:rPr>
      </w:pPr>
    </w:p>
    <w:p w:rsidR="00B168D0" w:rsidRPr="00CB191F" w:rsidRDefault="00B168D0" w:rsidP="00327158">
      <w:pPr>
        <w:tabs>
          <w:tab w:val="left" w:pos="5944"/>
          <w:tab w:val="left" w:pos="7250"/>
          <w:tab w:val="left" w:pos="7953"/>
        </w:tabs>
        <w:spacing w:line="280" w:lineRule="exact"/>
        <w:rPr>
          <w:rFonts w:cs="Arial"/>
          <w:sz w:val="22"/>
          <w:szCs w:val="20"/>
        </w:rPr>
      </w:pPr>
    </w:p>
    <w:p w:rsidR="00B168D0" w:rsidRPr="00CB191F" w:rsidRDefault="00B168D0" w:rsidP="00327158">
      <w:pPr>
        <w:tabs>
          <w:tab w:val="left" w:pos="5944"/>
          <w:tab w:val="left" w:pos="7250"/>
          <w:tab w:val="left" w:pos="7953"/>
        </w:tabs>
        <w:spacing w:line="280" w:lineRule="exact"/>
        <w:jc w:val="center"/>
        <w:rPr>
          <w:rFonts w:cs="Arial"/>
          <w:sz w:val="22"/>
          <w:szCs w:val="20"/>
        </w:rPr>
      </w:pPr>
      <w:r w:rsidRPr="00CB191F">
        <w:rPr>
          <w:rFonts w:cs="Arial"/>
          <w:sz w:val="22"/>
          <w:szCs w:val="20"/>
        </w:rPr>
        <w:t>--- ENDE ---</w:t>
      </w:r>
    </w:p>
    <w:p w:rsidR="00B168D0" w:rsidRPr="00CB191F" w:rsidRDefault="00B168D0" w:rsidP="00327158">
      <w:pPr>
        <w:tabs>
          <w:tab w:val="left" w:pos="5944"/>
          <w:tab w:val="left" w:pos="7250"/>
          <w:tab w:val="left" w:pos="7953"/>
        </w:tabs>
        <w:spacing w:line="280" w:lineRule="exact"/>
        <w:jc w:val="center"/>
        <w:rPr>
          <w:rFonts w:cs="Arial"/>
          <w:sz w:val="22"/>
          <w:szCs w:val="20"/>
        </w:rPr>
      </w:pPr>
    </w:p>
    <w:p w:rsidR="00B168D0" w:rsidRPr="00CB191F" w:rsidRDefault="00B168D0" w:rsidP="00327158">
      <w:pPr>
        <w:tabs>
          <w:tab w:val="left" w:pos="5944"/>
          <w:tab w:val="left" w:pos="7250"/>
          <w:tab w:val="left" w:pos="7953"/>
        </w:tabs>
        <w:spacing w:line="280" w:lineRule="exact"/>
        <w:jc w:val="center"/>
        <w:rPr>
          <w:rFonts w:cs="Arial"/>
          <w:sz w:val="22"/>
          <w:szCs w:val="20"/>
        </w:rPr>
      </w:pPr>
    </w:p>
    <w:p w:rsidR="00991DB9" w:rsidRPr="00CB191F" w:rsidRDefault="00361202" w:rsidP="00327158">
      <w:pPr>
        <w:tabs>
          <w:tab w:val="left" w:pos="5944"/>
          <w:tab w:val="left" w:pos="7250"/>
          <w:tab w:val="left" w:pos="7953"/>
        </w:tabs>
        <w:spacing w:line="280" w:lineRule="exact"/>
        <w:jc w:val="center"/>
        <w:rPr>
          <w:rFonts w:cs="Arial"/>
          <w:sz w:val="22"/>
          <w:szCs w:val="20"/>
        </w:rPr>
      </w:pPr>
      <w:r>
        <w:rPr>
          <w:rFonts w:cs="Arial"/>
          <w:sz w:val="22"/>
          <w:szCs w:val="20"/>
        </w:rPr>
        <w:t>2</w:t>
      </w:r>
      <w:r w:rsidR="00B168D0" w:rsidRPr="00CB191F">
        <w:rPr>
          <w:rFonts w:cs="Arial"/>
          <w:sz w:val="22"/>
          <w:szCs w:val="20"/>
        </w:rPr>
        <w:t>.</w:t>
      </w:r>
      <w:r>
        <w:rPr>
          <w:rFonts w:cs="Arial"/>
          <w:sz w:val="22"/>
          <w:szCs w:val="20"/>
        </w:rPr>
        <w:t>282</w:t>
      </w:r>
      <w:r w:rsidR="00B168D0" w:rsidRPr="00CB191F">
        <w:rPr>
          <w:rFonts w:cs="Arial"/>
          <w:sz w:val="22"/>
          <w:szCs w:val="20"/>
        </w:rPr>
        <w:t xml:space="preserve"> Zeichen inkl. Leerzeichen</w:t>
      </w:r>
    </w:p>
    <w:p w:rsidR="00B168D0" w:rsidRPr="00CB191F" w:rsidRDefault="00B168D0" w:rsidP="00327158">
      <w:pPr>
        <w:tabs>
          <w:tab w:val="left" w:pos="5944"/>
          <w:tab w:val="left" w:pos="7250"/>
          <w:tab w:val="left" w:pos="7953"/>
        </w:tabs>
        <w:spacing w:line="280" w:lineRule="exact"/>
        <w:rPr>
          <w:rFonts w:cs="Arial"/>
          <w:sz w:val="22"/>
          <w:szCs w:val="20"/>
        </w:rPr>
      </w:pPr>
    </w:p>
    <w:p w:rsidR="00B168D0" w:rsidRPr="00CB191F" w:rsidRDefault="00B168D0" w:rsidP="00327158">
      <w:pPr>
        <w:tabs>
          <w:tab w:val="left" w:pos="5944"/>
          <w:tab w:val="left" w:pos="7250"/>
          <w:tab w:val="left" w:pos="7953"/>
        </w:tabs>
        <w:spacing w:line="280" w:lineRule="exact"/>
        <w:rPr>
          <w:rFonts w:cs="Arial"/>
          <w:sz w:val="22"/>
          <w:szCs w:val="20"/>
        </w:rPr>
      </w:pPr>
    </w:p>
    <w:p w:rsidR="00A5361B" w:rsidRPr="00CB191F" w:rsidRDefault="00A5361B" w:rsidP="00327158">
      <w:pPr>
        <w:tabs>
          <w:tab w:val="left" w:pos="5944"/>
          <w:tab w:val="left" w:pos="7250"/>
          <w:tab w:val="left" w:pos="7953"/>
        </w:tabs>
        <w:spacing w:line="280" w:lineRule="exact"/>
        <w:rPr>
          <w:rFonts w:cs="Arial"/>
          <w:sz w:val="22"/>
          <w:szCs w:val="20"/>
        </w:rPr>
      </w:pPr>
    </w:p>
    <w:p w:rsidR="006F170F" w:rsidRPr="00CB191F" w:rsidRDefault="00B168D0" w:rsidP="00327158">
      <w:pPr>
        <w:tabs>
          <w:tab w:val="left" w:pos="5944"/>
          <w:tab w:val="left" w:pos="7250"/>
          <w:tab w:val="left" w:pos="7953"/>
        </w:tabs>
        <w:spacing w:line="280" w:lineRule="exact"/>
        <w:rPr>
          <w:rFonts w:cs="Arial"/>
          <w:b/>
          <w:sz w:val="22"/>
          <w:szCs w:val="20"/>
        </w:rPr>
      </w:pPr>
      <w:r w:rsidRPr="00CB191F">
        <w:rPr>
          <w:rFonts w:cs="Arial"/>
          <w:b/>
          <w:sz w:val="22"/>
          <w:szCs w:val="20"/>
        </w:rPr>
        <w:t>Bilder</w:t>
      </w:r>
    </w:p>
    <w:p w:rsidR="00B168D0" w:rsidRPr="00CB191F" w:rsidRDefault="00B168D0" w:rsidP="00327158">
      <w:pPr>
        <w:tabs>
          <w:tab w:val="left" w:pos="5944"/>
          <w:tab w:val="left" w:pos="7250"/>
          <w:tab w:val="left" w:pos="7953"/>
        </w:tabs>
        <w:spacing w:line="280" w:lineRule="exact"/>
        <w:rPr>
          <w:rFonts w:cs="Arial"/>
          <w:sz w:val="22"/>
          <w:szCs w:val="20"/>
        </w:rPr>
      </w:pPr>
    </w:p>
    <w:tbl>
      <w:tblPr>
        <w:tblStyle w:val="Tabellengitternetz"/>
        <w:tblW w:w="0" w:type="auto"/>
        <w:tblInd w:w="57" w:type="dxa"/>
        <w:tblCellMar>
          <w:top w:w="57" w:type="dxa"/>
          <w:left w:w="57" w:type="dxa"/>
          <w:right w:w="57" w:type="dxa"/>
        </w:tblCellMar>
        <w:tblLook w:val="04A0"/>
      </w:tblPr>
      <w:tblGrid>
        <w:gridCol w:w="3510"/>
        <w:gridCol w:w="5580"/>
      </w:tblGrid>
      <w:tr w:rsidR="00B168D0" w:rsidRPr="00CB191F" w:rsidTr="009636EE">
        <w:trPr>
          <w:trHeight w:val="1798"/>
        </w:trPr>
        <w:tc>
          <w:tcPr>
            <w:tcW w:w="3402" w:type="dxa"/>
            <w:vAlign w:val="center"/>
          </w:tcPr>
          <w:p w:rsidR="00B168D0" w:rsidRPr="00CB191F" w:rsidRDefault="009636EE" w:rsidP="00327158">
            <w:pPr>
              <w:tabs>
                <w:tab w:val="left" w:pos="5944"/>
                <w:tab w:val="left" w:pos="7250"/>
                <w:tab w:val="left" w:pos="7953"/>
              </w:tabs>
              <w:spacing w:line="280" w:lineRule="exact"/>
              <w:rPr>
                <w:rFonts w:cs="Arial"/>
                <w:sz w:val="22"/>
                <w:szCs w:val="20"/>
              </w:rPr>
            </w:pPr>
            <w:r w:rsidRPr="009636EE">
              <w:rPr>
                <w:rFonts w:cs="Arial"/>
                <w:sz w:val="22"/>
                <w:szCs w:val="20"/>
              </w:rPr>
              <w:drawing>
                <wp:anchor distT="0" distB="0" distL="114300" distR="114300" simplePos="0" relativeHeight="251658240" behindDoc="0" locked="0" layoutInCell="1" allowOverlap="1">
                  <wp:simplePos x="0" y="0"/>
                  <wp:positionH relativeFrom="column">
                    <wp:posOffset>25400</wp:posOffset>
                  </wp:positionH>
                  <wp:positionV relativeFrom="paragraph">
                    <wp:posOffset>-1800225</wp:posOffset>
                  </wp:positionV>
                  <wp:extent cx="2137410" cy="1423035"/>
                  <wp:effectExtent l="19050" t="0" r="0" b="0"/>
                  <wp:wrapTopAndBottom/>
                  <wp:docPr id="10" name="Grafik 0" descr="Grossfraese_Trans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ssfraese_Transport.jpg"/>
                          <pic:cNvPicPr/>
                        </pic:nvPicPr>
                        <pic:blipFill>
                          <a:blip r:embed="rId6" cstate="print"/>
                          <a:stretch>
                            <a:fillRect/>
                          </a:stretch>
                        </pic:blipFill>
                        <pic:spPr>
                          <a:xfrm>
                            <a:off x="0" y="0"/>
                            <a:ext cx="2137410" cy="1423035"/>
                          </a:xfrm>
                          <a:prstGeom prst="rect">
                            <a:avLst/>
                          </a:prstGeom>
                        </pic:spPr>
                      </pic:pic>
                    </a:graphicData>
                  </a:graphic>
                </wp:anchor>
              </w:drawing>
            </w:r>
          </w:p>
        </w:tc>
        <w:tc>
          <w:tcPr>
            <w:tcW w:w="5580" w:type="dxa"/>
          </w:tcPr>
          <w:p w:rsidR="00B168D0" w:rsidRPr="00CB191F" w:rsidRDefault="00361202" w:rsidP="00327158">
            <w:pPr>
              <w:tabs>
                <w:tab w:val="left" w:pos="5944"/>
                <w:tab w:val="left" w:pos="7250"/>
                <w:tab w:val="left" w:pos="7953"/>
              </w:tabs>
              <w:spacing w:line="280" w:lineRule="exact"/>
              <w:ind w:right="420"/>
              <w:rPr>
                <w:rFonts w:cs="Arial"/>
                <w:sz w:val="22"/>
                <w:szCs w:val="20"/>
              </w:rPr>
            </w:pPr>
            <w:r>
              <w:rPr>
                <w:rFonts w:cs="Arial"/>
                <w:sz w:val="22"/>
                <w:szCs w:val="20"/>
              </w:rPr>
              <w:t>Die Großfräse auf dem Lkw gilt nicht als Gefahrguttransport</w:t>
            </w:r>
          </w:p>
          <w:p w:rsidR="00B168D0" w:rsidRPr="00CB191F" w:rsidRDefault="00B168D0" w:rsidP="00327158">
            <w:pPr>
              <w:tabs>
                <w:tab w:val="left" w:pos="5944"/>
                <w:tab w:val="left" w:pos="7250"/>
                <w:tab w:val="left" w:pos="7953"/>
              </w:tabs>
              <w:spacing w:line="280" w:lineRule="exact"/>
              <w:ind w:right="420"/>
              <w:rPr>
                <w:rFonts w:cs="Arial"/>
                <w:sz w:val="22"/>
                <w:szCs w:val="20"/>
              </w:rPr>
            </w:pPr>
          </w:p>
        </w:tc>
      </w:tr>
    </w:tbl>
    <w:p w:rsidR="00B168D0" w:rsidRDefault="00B168D0" w:rsidP="00327158">
      <w:pPr>
        <w:tabs>
          <w:tab w:val="left" w:pos="5944"/>
          <w:tab w:val="left" w:pos="7250"/>
          <w:tab w:val="left" w:pos="7953"/>
        </w:tabs>
        <w:spacing w:line="280" w:lineRule="exact"/>
        <w:rPr>
          <w:rFonts w:cs="Arial"/>
          <w:sz w:val="22"/>
          <w:szCs w:val="20"/>
        </w:rPr>
      </w:pPr>
    </w:p>
    <w:p w:rsidR="00361202" w:rsidRDefault="00361202" w:rsidP="00327158">
      <w:pPr>
        <w:tabs>
          <w:tab w:val="left" w:pos="5944"/>
          <w:tab w:val="left" w:pos="7250"/>
          <w:tab w:val="left" w:pos="7953"/>
        </w:tabs>
        <w:spacing w:line="280" w:lineRule="exact"/>
        <w:rPr>
          <w:rFonts w:cs="Arial"/>
          <w:sz w:val="22"/>
          <w:szCs w:val="20"/>
        </w:rPr>
      </w:pPr>
    </w:p>
    <w:p w:rsidR="00361202" w:rsidRDefault="00361202" w:rsidP="00327158">
      <w:pPr>
        <w:tabs>
          <w:tab w:val="left" w:pos="5944"/>
          <w:tab w:val="left" w:pos="7250"/>
          <w:tab w:val="left" w:pos="7953"/>
        </w:tabs>
        <w:spacing w:line="280" w:lineRule="exact"/>
        <w:rPr>
          <w:rFonts w:cs="Arial"/>
          <w:sz w:val="22"/>
          <w:szCs w:val="20"/>
        </w:rPr>
      </w:pPr>
    </w:p>
    <w:p w:rsidR="00361202" w:rsidRPr="00CB191F" w:rsidRDefault="00361202" w:rsidP="00327158">
      <w:pPr>
        <w:tabs>
          <w:tab w:val="left" w:pos="5944"/>
          <w:tab w:val="left" w:pos="7250"/>
          <w:tab w:val="left" w:pos="7953"/>
        </w:tabs>
        <w:spacing w:line="280" w:lineRule="exact"/>
        <w:rPr>
          <w:rFonts w:cs="Arial"/>
          <w:sz w:val="22"/>
          <w:szCs w:val="20"/>
        </w:rPr>
      </w:pPr>
    </w:p>
    <w:p w:rsidR="006F170F" w:rsidRPr="00CB191F" w:rsidRDefault="006F170F" w:rsidP="00327158">
      <w:pPr>
        <w:spacing w:line="280" w:lineRule="exact"/>
        <w:ind w:right="687"/>
        <w:rPr>
          <w:rFonts w:cs="Arial"/>
          <w:sz w:val="28"/>
        </w:rPr>
      </w:pPr>
    </w:p>
    <w:p w:rsidR="006F170F" w:rsidRPr="00CB191F" w:rsidRDefault="006F170F" w:rsidP="00327158">
      <w:pPr>
        <w:spacing w:line="280" w:lineRule="exact"/>
        <w:ind w:left="284"/>
        <w:rPr>
          <w:rFonts w:cs="Arial"/>
          <w:sz w:val="28"/>
        </w:rPr>
        <w:sectPr w:rsidR="006F170F" w:rsidRPr="00CB191F" w:rsidSect="00D54A38">
          <w:headerReference w:type="default" r:id="rId7"/>
          <w:footerReference w:type="default" r:id="rId8"/>
          <w:pgSz w:w="11906" w:h="16838"/>
          <w:pgMar w:top="397" w:right="1416" w:bottom="1134" w:left="1418" w:header="0" w:footer="456" w:gutter="0"/>
          <w:cols w:space="720"/>
          <w:formProt w:val="0"/>
          <w:docGrid w:linePitch="360"/>
        </w:sectPr>
      </w:pPr>
    </w:p>
    <w:p w:rsidR="006F170F" w:rsidRPr="00CB191F" w:rsidRDefault="007F4261" w:rsidP="00327158">
      <w:pPr>
        <w:pStyle w:val="Rahmeninhalt"/>
        <w:tabs>
          <w:tab w:val="left" w:pos="0"/>
        </w:tabs>
        <w:spacing w:after="57" w:line="280" w:lineRule="exact"/>
        <w:ind w:right="-31"/>
        <w:rPr>
          <w:rFonts w:cs="Arial"/>
          <w:b/>
          <w:color w:val="000000" w:themeColor="text1"/>
          <w:sz w:val="22"/>
          <w:szCs w:val="16"/>
        </w:rPr>
      </w:pPr>
      <w:r w:rsidRPr="00CB191F">
        <w:rPr>
          <w:rFonts w:cs="Arial"/>
          <w:b/>
          <w:color w:val="000000" w:themeColor="text1"/>
          <w:sz w:val="22"/>
          <w:szCs w:val="16"/>
        </w:rPr>
        <w:t>Kontakt</w:t>
      </w:r>
      <w:r w:rsidR="0092693C" w:rsidRPr="00CB191F">
        <w:rPr>
          <w:rFonts w:cs="Arial"/>
          <w:b/>
          <w:color w:val="000000" w:themeColor="text1"/>
          <w:sz w:val="22"/>
          <w:szCs w:val="16"/>
        </w:rPr>
        <w:t>:</w:t>
      </w:r>
    </w:p>
    <w:p w:rsidR="006F170F" w:rsidRPr="00CB191F" w:rsidRDefault="007F4261" w:rsidP="00327158">
      <w:pPr>
        <w:pStyle w:val="Rahmeninhalt"/>
        <w:tabs>
          <w:tab w:val="left" w:pos="0"/>
        </w:tabs>
        <w:spacing w:after="57" w:line="280" w:lineRule="exact"/>
        <w:ind w:right="-31"/>
        <w:rPr>
          <w:rFonts w:cs="Arial"/>
          <w:color w:val="000000" w:themeColor="text1"/>
          <w:sz w:val="22"/>
          <w:szCs w:val="16"/>
        </w:rPr>
      </w:pPr>
      <w:r w:rsidRPr="00CB191F">
        <w:rPr>
          <w:rFonts w:cs="Arial"/>
          <w:color w:val="000000" w:themeColor="text1"/>
          <w:sz w:val="22"/>
          <w:szCs w:val="16"/>
        </w:rPr>
        <w:t>VESF e. V.</w:t>
      </w:r>
      <w:r w:rsidR="0092693C" w:rsidRPr="00CB191F">
        <w:rPr>
          <w:rFonts w:cs="Arial"/>
          <w:color w:val="000000" w:themeColor="text1"/>
          <w:sz w:val="22"/>
          <w:szCs w:val="16"/>
        </w:rPr>
        <w:br/>
      </w:r>
      <w:r w:rsidRPr="00CB191F">
        <w:rPr>
          <w:rFonts w:cs="Arial"/>
          <w:color w:val="000000" w:themeColor="text1"/>
          <w:sz w:val="22"/>
          <w:szCs w:val="16"/>
        </w:rPr>
        <w:t>Ringstraße 21</w:t>
      </w:r>
      <w:r w:rsidR="0092693C" w:rsidRPr="00CB191F">
        <w:rPr>
          <w:rFonts w:cs="Arial"/>
          <w:color w:val="000000" w:themeColor="text1"/>
          <w:sz w:val="22"/>
          <w:szCs w:val="16"/>
        </w:rPr>
        <w:br/>
      </w:r>
      <w:r w:rsidRPr="00CB191F">
        <w:rPr>
          <w:rFonts w:cs="Arial"/>
          <w:color w:val="000000" w:themeColor="text1"/>
          <w:sz w:val="22"/>
          <w:szCs w:val="16"/>
        </w:rPr>
        <w:t>56651 Niederdürenbach</w:t>
      </w:r>
      <w:r w:rsidR="0092693C" w:rsidRPr="00CB191F">
        <w:rPr>
          <w:rFonts w:cs="Arial"/>
          <w:color w:val="000000" w:themeColor="text1"/>
          <w:sz w:val="22"/>
          <w:szCs w:val="16"/>
        </w:rPr>
        <w:br/>
      </w:r>
      <w:r w:rsidRPr="00CB191F">
        <w:rPr>
          <w:rFonts w:cs="Arial"/>
          <w:color w:val="000000" w:themeColor="text1"/>
          <w:sz w:val="22"/>
          <w:szCs w:val="16"/>
        </w:rPr>
        <w:t>Deutschland</w:t>
      </w:r>
    </w:p>
    <w:p w:rsidR="0092693C" w:rsidRPr="00CB191F" w:rsidRDefault="007F4261" w:rsidP="00327158">
      <w:pPr>
        <w:pStyle w:val="Rahmeninhalt"/>
        <w:tabs>
          <w:tab w:val="left" w:pos="0"/>
        </w:tabs>
        <w:spacing w:after="57" w:line="280" w:lineRule="exact"/>
        <w:ind w:right="-31"/>
        <w:rPr>
          <w:rFonts w:cs="Arial"/>
          <w:color w:val="000000" w:themeColor="text1"/>
          <w:sz w:val="22"/>
        </w:rPr>
      </w:pPr>
      <w:r w:rsidRPr="00CB191F">
        <w:rPr>
          <w:rFonts w:cs="Arial"/>
          <w:color w:val="000000" w:themeColor="text1"/>
          <w:sz w:val="36"/>
        </w:rPr>
        <w:br w:type="column"/>
      </w:r>
    </w:p>
    <w:p w:rsidR="006F170F" w:rsidRPr="00CB191F" w:rsidRDefault="007F4261" w:rsidP="00E27DCB">
      <w:pPr>
        <w:pStyle w:val="Rahmeninhalt"/>
        <w:tabs>
          <w:tab w:val="left" w:pos="0"/>
          <w:tab w:val="left" w:pos="567"/>
        </w:tabs>
        <w:spacing w:after="57" w:line="280" w:lineRule="exact"/>
        <w:ind w:right="-31"/>
        <w:rPr>
          <w:rFonts w:cs="Arial"/>
          <w:color w:val="000000" w:themeColor="text1"/>
          <w:sz w:val="22"/>
          <w:szCs w:val="16"/>
        </w:rPr>
      </w:pPr>
      <w:r w:rsidRPr="00CB191F">
        <w:rPr>
          <w:rFonts w:cs="Arial"/>
          <w:color w:val="000000" w:themeColor="text1"/>
          <w:sz w:val="22"/>
          <w:szCs w:val="16"/>
        </w:rPr>
        <w:t>Tel:</w:t>
      </w:r>
      <w:r w:rsidR="0092693C" w:rsidRPr="00CB191F">
        <w:rPr>
          <w:rFonts w:cs="Arial"/>
          <w:color w:val="000000" w:themeColor="text1"/>
          <w:sz w:val="22"/>
          <w:szCs w:val="16"/>
        </w:rPr>
        <w:tab/>
      </w:r>
      <w:r w:rsidRPr="00CB191F">
        <w:rPr>
          <w:rFonts w:cs="Arial"/>
          <w:color w:val="000000" w:themeColor="text1"/>
          <w:sz w:val="22"/>
          <w:szCs w:val="16"/>
        </w:rPr>
        <w:t>+49 2636 9419</w:t>
      </w:r>
      <w:r w:rsidR="0092693C" w:rsidRPr="00CB191F">
        <w:rPr>
          <w:rFonts w:cs="Arial"/>
          <w:color w:val="000000" w:themeColor="text1"/>
          <w:sz w:val="22"/>
          <w:szCs w:val="16"/>
        </w:rPr>
        <w:t xml:space="preserve"> </w:t>
      </w:r>
      <w:r w:rsidRPr="00CB191F">
        <w:rPr>
          <w:rFonts w:cs="Arial"/>
          <w:color w:val="000000" w:themeColor="text1"/>
          <w:sz w:val="22"/>
          <w:szCs w:val="16"/>
        </w:rPr>
        <w:t>118</w:t>
      </w:r>
      <w:r w:rsidR="0092693C" w:rsidRPr="00CB191F">
        <w:rPr>
          <w:rFonts w:cs="Arial"/>
          <w:color w:val="000000" w:themeColor="text1"/>
          <w:sz w:val="22"/>
          <w:szCs w:val="16"/>
        </w:rPr>
        <w:br/>
      </w:r>
      <w:r w:rsidRPr="00CB191F">
        <w:rPr>
          <w:rFonts w:cs="Arial"/>
          <w:color w:val="000000" w:themeColor="text1"/>
          <w:sz w:val="22"/>
          <w:szCs w:val="16"/>
        </w:rPr>
        <w:t>Fax:</w:t>
      </w:r>
      <w:r w:rsidR="0092693C" w:rsidRPr="00CB191F">
        <w:rPr>
          <w:rFonts w:cs="Arial"/>
          <w:color w:val="000000" w:themeColor="text1"/>
          <w:sz w:val="22"/>
          <w:szCs w:val="16"/>
        </w:rPr>
        <w:tab/>
      </w:r>
      <w:r w:rsidRPr="00CB191F">
        <w:rPr>
          <w:rFonts w:cs="Arial"/>
          <w:color w:val="000000" w:themeColor="text1"/>
          <w:sz w:val="22"/>
          <w:szCs w:val="16"/>
        </w:rPr>
        <w:t>+49 2636 9419</w:t>
      </w:r>
      <w:r w:rsidR="0092693C" w:rsidRPr="00CB191F">
        <w:rPr>
          <w:rFonts w:cs="Arial"/>
          <w:color w:val="000000" w:themeColor="text1"/>
          <w:sz w:val="22"/>
          <w:szCs w:val="16"/>
        </w:rPr>
        <w:t xml:space="preserve"> </w:t>
      </w:r>
      <w:r w:rsidRPr="00CB191F">
        <w:rPr>
          <w:rFonts w:cs="Arial"/>
          <w:color w:val="000000" w:themeColor="text1"/>
          <w:sz w:val="22"/>
          <w:szCs w:val="16"/>
        </w:rPr>
        <w:t>040</w:t>
      </w:r>
      <w:r w:rsidR="0092693C" w:rsidRPr="00CB191F">
        <w:rPr>
          <w:rFonts w:cs="Arial"/>
          <w:color w:val="000000" w:themeColor="text1"/>
          <w:sz w:val="22"/>
          <w:szCs w:val="16"/>
        </w:rPr>
        <w:br/>
      </w:r>
      <w:hyperlink r:id="rId9" w:history="1">
        <w:r w:rsidR="0092693C" w:rsidRPr="00CB191F">
          <w:rPr>
            <w:rStyle w:val="Hyperlink"/>
            <w:rFonts w:cs="Arial"/>
            <w:color w:val="000000" w:themeColor="text1"/>
            <w:sz w:val="22"/>
            <w:szCs w:val="16"/>
            <w:u w:val="none"/>
          </w:rPr>
          <w:t>info@www.vesf-ev.com</w:t>
        </w:r>
      </w:hyperlink>
      <w:r w:rsidR="0092693C" w:rsidRPr="00CB191F">
        <w:rPr>
          <w:rFonts w:cs="Arial"/>
          <w:color w:val="000000" w:themeColor="text1"/>
          <w:sz w:val="22"/>
          <w:szCs w:val="16"/>
        </w:rPr>
        <w:br/>
      </w:r>
      <w:r w:rsidRPr="00CB191F">
        <w:rPr>
          <w:rFonts w:cs="Arial"/>
          <w:color w:val="000000" w:themeColor="text1"/>
          <w:sz w:val="22"/>
          <w:szCs w:val="16"/>
        </w:rPr>
        <w:t>www.vesf-ev.com</w:t>
      </w:r>
    </w:p>
    <w:p w:rsidR="006F170F" w:rsidRPr="00CB191F" w:rsidRDefault="006F170F" w:rsidP="00327158">
      <w:pPr>
        <w:pStyle w:val="Rahmeninhalt"/>
        <w:tabs>
          <w:tab w:val="left" w:pos="0"/>
        </w:tabs>
        <w:spacing w:after="57" w:line="280" w:lineRule="exact"/>
        <w:ind w:right="-31"/>
        <w:rPr>
          <w:rFonts w:cs="Arial"/>
          <w:color w:val="000000" w:themeColor="text1"/>
          <w:sz w:val="18"/>
          <w:szCs w:val="16"/>
        </w:rPr>
      </w:pPr>
    </w:p>
    <w:p w:rsidR="00C5161C" w:rsidRPr="00CB191F" w:rsidRDefault="00C5161C" w:rsidP="00327158">
      <w:pPr>
        <w:pStyle w:val="Rahmeninhalt"/>
        <w:tabs>
          <w:tab w:val="left" w:pos="0"/>
          <w:tab w:val="left" w:pos="960"/>
        </w:tabs>
        <w:spacing w:after="57" w:line="280" w:lineRule="exact"/>
        <w:rPr>
          <w:rFonts w:cs="Arial"/>
          <w:color w:val="2E37F1"/>
          <w:sz w:val="18"/>
          <w:szCs w:val="16"/>
        </w:rPr>
        <w:sectPr w:rsidR="00C5161C" w:rsidRPr="00CB191F" w:rsidSect="00B10437">
          <w:type w:val="continuous"/>
          <w:pgSz w:w="11906" w:h="16838"/>
          <w:pgMar w:top="397" w:right="473" w:bottom="1660" w:left="1418" w:header="0" w:footer="726" w:gutter="0"/>
          <w:cols w:num="3" w:space="93"/>
          <w:formProt w:val="0"/>
          <w:docGrid w:linePitch="360"/>
        </w:sectPr>
      </w:pPr>
    </w:p>
    <w:p w:rsidR="006F170F" w:rsidRPr="00CB191F" w:rsidRDefault="006F170F" w:rsidP="00327158">
      <w:pPr>
        <w:tabs>
          <w:tab w:val="left" w:pos="0"/>
        </w:tabs>
        <w:spacing w:line="280" w:lineRule="exact"/>
        <w:rPr>
          <w:rFonts w:cs="Arial"/>
          <w:sz w:val="28"/>
        </w:rPr>
        <w:sectPr w:rsidR="006F170F" w:rsidRPr="00CB191F" w:rsidSect="00B10437">
          <w:type w:val="continuous"/>
          <w:pgSz w:w="11906" w:h="16838"/>
          <w:pgMar w:top="397" w:right="473" w:bottom="1660" w:left="1418" w:header="0" w:footer="726" w:gutter="0"/>
          <w:cols w:num="2" w:space="93"/>
          <w:formProt w:val="0"/>
          <w:docGrid w:linePitch="360"/>
        </w:sectPr>
      </w:pPr>
    </w:p>
    <w:p w:rsidR="006F170F" w:rsidRPr="00CB191F" w:rsidRDefault="006F170F" w:rsidP="00477CFB">
      <w:pPr>
        <w:pStyle w:val="Rahmeninhalt"/>
        <w:tabs>
          <w:tab w:val="left" w:pos="960"/>
        </w:tabs>
        <w:spacing w:after="57"/>
        <w:ind w:left="284"/>
        <w:rPr>
          <w:rFonts w:ascii="Verdana" w:hAnsi="Verdana"/>
          <w:color w:val="2E37F1"/>
          <w:sz w:val="16"/>
          <w:szCs w:val="16"/>
        </w:rPr>
      </w:pPr>
    </w:p>
    <w:sectPr w:rsidR="006F170F" w:rsidRPr="00CB191F" w:rsidSect="00B10437">
      <w:type w:val="continuous"/>
      <w:pgSz w:w="11906" w:h="16838"/>
      <w:pgMar w:top="397" w:right="473" w:bottom="1660" w:left="1134" w:header="0" w:footer="726"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7FC" w:rsidRDefault="002D17FC" w:rsidP="006F170F">
      <w:r>
        <w:separator/>
      </w:r>
    </w:p>
  </w:endnote>
  <w:endnote w:type="continuationSeparator" w:id="0">
    <w:p w:rsidR="002D17FC" w:rsidRDefault="002D17FC" w:rsidP="006F170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ndale Sans UI;Arial Unicode M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tarSymbol;Arial Unicode MS">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7FC" w:rsidRPr="00991DB9" w:rsidRDefault="002D17FC" w:rsidP="00B10437">
    <w:pPr>
      <w:pStyle w:val="Fuzeile"/>
      <w:tabs>
        <w:tab w:val="clear" w:pos="10299"/>
        <w:tab w:val="center" w:pos="4536"/>
      </w:tabs>
      <w:rPr>
        <w:rFonts w:cs="Arial"/>
        <w:sz w:val="20"/>
        <w:szCs w:val="20"/>
      </w:rPr>
    </w:pPr>
    <w:r>
      <w:rPr>
        <w:rFonts w:cs="Arial"/>
        <w:sz w:val="20"/>
        <w:szCs w:val="20"/>
      </w:rPr>
      <w:tab/>
    </w:r>
    <w:r w:rsidRPr="00991DB9">
      <w:rPr>
        <w:rFonts w:cs="Arial"/>
        <w:sz w:val="20"/>
        <w:szCs w:val="20"/>
      </w:rPr>
      <w:t xml:space="preserve">Seite </w:t>
    </w:r>
    <w:r w:rsidR="007D4A7B" w:rsidRPr="00991DB9">
      <w:rPr>
        <w:rFonts w:cs="Arial"/>
        <w:sz w:val="20"/>
        <w:szCs w:val="20"/>
      </w:rPr>
      <w:fldChar w:fldCharType="begin"/>
    </w:r>
    <w:r w:rsidRPr="00991DB9">
      <w:rPr>
        <w:rFonts w:cs="Arial"/>
        <w:sz w:val="20"/>
        <w:szCs w:val="20"/>
      </w:rPr>
      <w:instrText>PAGE</w:instrText>
    </w:r>
    <w:r w:rsidR="007D4A7B" w:rsidRPr="00991DB9">
      <w:rPr>
        <w:rFonts w:cs="Arial"/>
        <w:sz w:val="20"/>
        <w:szCs w:val="20"/>
      </w:rPr>
      <w:fldChar w:fldCharType="separate"/>
    </w:r>
    <w:r w:rsidR="009636EE">
      <w:rPr>
        <w:rFonts w:cs="Arial"/>
        <w:noProof/>
        <w:sz w:val="20"/>
        <w:szCs w:val="20"/>
      </w:rPr>
      <w:t>1</w:t>
    </w:r>
    <w:r w:rsidR="007D4A7B" w:rsidRPr="00991DB9">
      <w:rPr>
        <w:rFonts w:cs="Arial"/>
        <w:sz w:val="20"/>
        <w:szCs w:val="20"/>
      </w:rPr>
      <w:fldChar w:fldCharType="end"/>
    </w:r>
    <w:r w:rsidRPr="00991DB9">
      <w:rPr>
        <w:rFonts w:cs="Arial"/>
        <w:sz w:val="20"/>
        <w:szCs w:val="20"/>
      </w:rPr>
      <w:t xml:space="preserve"> von </w:t>
    </w:r>
    <w:r w:rsidR="007D4A7B" w:rsidRPr="00991DB9">
      <w:rPr>
        <w:rFonts w:cs="Arial"/>
        <w:sz w:val="20"/>
        <w:szCs w:val="20"/>
      </w:rPr>
      <w:fldChar w:fldCharType="begin"/>
    </w:r>
    <w:r w:rsidRPr="00991DB9">
      <w:rPr>
        <w:rFonts w:cs="Arial"/>
        <w:sz w:val="20"/>
        <w:szCs w:val="20"/>
      </w:rPr>
      <w:instrText>NUMPAGES</w:instrText>
    </w:r>
    <w:r w:rsidR="007D4A7B" w:rsidRPr="00991DB9">
      <w:rPr>
        <w:rFonts w:cs="Arial"/>
        <w:sz w:val="20"/>
        <w:szCs w:val="20"/>
      </w:rPr>
      <w:fldChar w:fldCharType="separate"/>
    </w:r>
    <w:r w:rsidR="009636EE">
      <w:rPr>
        <w:rFonts w:cs="Arial"/>
        <w:noProof/>
        <w:sz w:val="20"/>
        <w:szCs w:val="20"/>
      </w:rPr>
      <w:t>2</w:t>
    </w:r>
    <w:r w:rsidR="007D4A7B" w:rsidRPr="00991DB9">
      <w:rPr>
        <w:rFonts w:cs="Arial"/>
        <w:sz w:val="20"/>
        <w:szCs w:val="20"/>
      </w:rPr>
      <w:fldChar w:fldCharType="end"/>
    </w:r>
    <w:r>
      <w:rPr>
        <w:rFonts w:cs="Arial"/>
        <w:sz w:val="20"/>
        <w:szCs w:val="20"/>
      </w:rPr>
      <w:tab/>
    </w:r>
    <w:r>
      <w:rPr>
        <w:rFonts w:cs="Arial"/>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7FC" w:rsidRDefault="002D17FC" w:rsidP="006F170F">
      <w:r>
        <w:separator/>
      </w:r>
    </w:p>
  </w:footnote>
  <w:footnote w:type="continuationSeparator" w:id="0">
    <w:p w:rsidR="002D17FC" w:rsidRDefault="002D17FC" w:rsidP="006F17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7FC" w:rsidRPr="00095A64" w:rsidRDefault="002D17FC" w:rsidP="00C07478">
    <w:pPr>
      <w:tabs>
        <w:tab w:val="left" w:pos="5944"/>
      </w:tabs>
      <w:rPr>
        <w:rFonts w:ascii="Verdana" w:hAnsi="Verdana"/>
        <w:b/>
        <w:bCs/>
        <w:color w:val="2E37F1"/>
        <w:sz w:val="32"/>
        <w:szCs w:val="48"/>
      </w:rPr>
    </w:pPr>
  </w:p>
  <w:p w:rsidR="002D17FC" w:rsidRPr="00991DB9" w:rsidRDefault="002D17FC" w:rsidP="00C07478">
    <w:pPr>
      <w:tabs>
        <w:tab w:val="left" w:pos="5944"/>
      </w:tabs>
      <w:spacing w:before="240" w:after="100" w:afterAutospacing="1"/>
      <w:rPr>
        <w:rFonts w:ascii="Verdana" w:hAnsi="Verdana"/>
        <w:b/>
        <w:bCs/>
        <w:color w:val="2E37F1"/>
        <w:sz w:val="28"/>
        <w:szCs w:val="48"/>
      </w:rPr>
    </w:pPr>
    <w:r w:rsidRPr="00991DB9">
      <w:rPr>
        <w:rFonts w:ascii="Verdana" w:hAnsi="Verdana"/>
        <w:b/>
        <w:bCs/>
        <w:noProof/>
        <w:color w:val="2E37F1"/>
        <w:sz w:val="28"/>
        <w:szCs w:val="48"/>
        <w:lang w:bidi="ar-SA"/>
      </w:rPr>
      <w:drawing>
        <wp:anchor distT="0" distB="0" distL="0" distR="0" simplePos="0" relativeHeight="251659264" behindDoc="0" locked="0" layoutInCell="1" allowOverlap="1">
          <wp:simplePos x="0" y="0"/>
          <wp:positionH relativeFrom="column">
            <wp:posOffset>4368165</wp:posOffset>
          </wp:positionH>
          <wp:positionV relativeFrom="paragraph">
            <wp:posOffset>99695</wp:posOffset>
          </wp:positionV>
          <wp:extent cx="1683385" cy="362585"/>
          <wp:effectExtent l="19050" t="0" r="0" b="0"/>
          <wp:wrapSquare wrapText="largest"/>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cstate="print"/>
                  <a:stretch>
                    <a:fillRect/>
                  </a:stretch>
                </pic:blipFill>
                <pic:spPr bwMode="auto">
                  <a:xfrm>
                    <a:off x="0" y="0"/>
                    <a:ext cx="1683385" cy="362585"/>
                  </a:xfrm>
                  <a:prstGeom prst="rect">
                    <a:avLst/>
                  </a:prstGeom>
                  <a:noFill/>
                  <a:ln w="9525">
                    <a:noFill/>
                    <a:miter lim="800000"/>
                    <a:headEnd/>
                    <a:tailEnd/>
                  </a:ln>
                </pic:spPr>
              </pic:pic>
            </a:graphicData>
          </a:graphic>
        </wp:anchor>
      </w:drawing>
    </w:r>
    <w:r w:rsidRPr="00991DB9">
      <w:rPr>
        <w:rFonts w:ascii="Verdana" w:hAnsi="Verdana"/>
        <w:b/>
        <w:bCs/>
        <w:color w:val="2E37F1"/>
        <w:sz w:val="28"/>
        <w:szCs w:val="48"/>
      </w:rPr>
      <w:t>Pressemitteilung   |   Press Release</w:t>
    </w:r>
  </w:p>
  <w:p w:rsidR="002D17FC" w:rsidRPr="00991DB9" w:rsidRDefault="002D17FC" w:rsidP="00C07478">
    <w:pPr>
      <w:tabs>
        <w:tab w:val="left" w:pos="5944"/>
      </w:tabs>
      <w:rPr>
        <w:rFonts w:ascii="Verdana" w:hAnsi="Verdana"/>
        <w:b/>
        <w:bCs/>
        <w:noProof/>
        <w:color w:val="2E37F1"/>
        <w:sz w:val="12"/>
        <w:szCs w:val="48"/>
        <w:lang w:bidi="ar-SA"/>
      </w:rPr>
    </w:pPr>
  </w:p>
  <w:p w:rsidR="002D17FC" w:rsidRPr="00C5161C" w:rsidRDefault="002D17FC" w:rsidP="00C07478">
    <w:pPr>
      <w:pBdr>
        <w:top w:val="single" w:sz="8" w:space="1" w:color="0000FF"/>
        <w:bottom w:val="single" w:sz="8" w:space="1" w:color="0000FF"/>
      </w:pBdr>
      <w:tabs>
        <w:tab w:val="left" w:pos="5944"/>
      </w:tabs>
      <w:spacing w:after="113"/>
      <w:rPr>
        <w:sz w:val="22"/>
      </w:rPr>
    </w:pPr>
    <w:r w:rsidRPr="00C5161C">
      <w:rPr>
        <w:rFonts w:ascii="Verdana" w:hAnsi="Verdana"/>
        <w:b/>
        <w:bCs/>
        <w:i/>
        <w:iCs/>
        <w:color w:val="2E37F1"/>
        <w:sz w:val="22"/>
      </w:rPr>
      <w:t>Verband Europäischer Straßenfräsunternehmungen e.V.</w:t>
    </w:r>
  </w:p>
  <w:p w:rsidR="002D17FC" w:rsidRPr="00C5161C" w:rsidRDefault="002D17FC" w:rsidP="00C07478">
    <w:pPr>
      <w:pBdr>
        <w:top w:val="single" w:sz="8" w:space="1" w:color="0000FF"/>
        <w:bottom w:val="single" w:sz="8" w:space="1" w:color="0000FF"/>
      </w:pBdr>
      <w:tabs>
        <w:tab w:val="left" w:pos="5944"/>
      </w:tabs>
      <w:spacing w:after="113"/>
      <w:jc w:val="right"/>
      <w:rPr>
        <w:rFonts w:ascii="Verdana" w:hAnsi="Verdana"/>
        <w:b/>
        <w:bCs/>
        <w:i/>
        <w:iCs/>
        <w:color w:val="2E37F1"/>
        <w:sz w:val="22"/>
        <w:lang w:val="en-US"/>
      </w:rPr>
    </w:pPr>
    <w:r w:rsidRPr="00C5161C">
      <w:rPr>
        <w:rFonts w:ascii="Verdana" w:hAnsi="Verdana"/>
        <w:b/>
        <w:bCs/>
        <w:i/>
        <w:iCs/>
        <w:color w:val="2E37F1"/>
        <w:sz w:val="22"/>
        <w:lang w:val="en-US"/>
      </w:rPr>
      <w:t>Association of European Road Milling Enterprises</w:t>
    </w:r>
  </w:p>
  <w:p w:rsidR="002D17FC" w:rsidRDefault="002D17FC">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characterSpacingControl w:val="doNotCompress"/>
  <w:savePreviewPicture/>
  <w:hdrShapeDefaults>
    <o:shapedefaults v:ext="edit" spidmax="6145"/>
  </w:hdrShapeDefaults>
  <w:footnotePr>
    <w:footnote w:id="-1"/>
    <w:footnote w:id="0"/>
  </w:footnotePr>
  <w:endnotePr>
    <w:endnote w:id="-1"/>
    <w:endnote w:id="0"/>
  </w:endnotePr>
  <w:compat/>
  <w:rsids>
    <w:rsidRoot w:val="006F170F"/>
    <w:rsid w:val="00095A64"/>
    <w:rsid w:val="001F46DA"/>
    <w:rsid w:val="002D17FC"/>
    <w:rsid w:val="002E5160"/>
    <w:rsid w:val="003063B4"/>
    <w:rsid w:val="00327158"/>
    <w:rsid w:val="0033714B"/>
    <w:rsid w:val="00361202"/>
    <w:rsid w:val="00477CFB"/>
    <w:rsid w:val="006F170F"/>
    <w:rsid w:val="007D4A7B"/>
    <w:rsid w:val="007F4261"/>
    <w:rsid w:val="00917D71"/>
    <w:rsid w:val="0092693C"/>
    <w:rsid w:val="009636EE"/>
    <w:rsid w:val="00991DB9"/>
    <w:rsid w:val="00A5361B"/>
    <w:rsid w:val="00B10437"/>
    <w:rsid w:val="00B12CE8"/>
    <w:rsid w:val="00B168D0"/>
    <w:rsid w:val="00B85F0D"/>
    <w:rsid w:val="00C07478"/>
    <w:rsid w:val="00C5161C"/>
    <w:rsid w:val="00CB191F"/>
    <w:rsid w:val="00D51790"/>
    <w:rsid w:val="00D54A38"/>
    <w:rsid w:val="00E27DC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ndale Sans UI" w:hAnsi="Arial" w:cs="Tahoma"/>
        <w:szCs w:val="24"/>
        <w:lang w:val="de-DE" w:eastAsia="de-DE" w:bidi="de-D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6F170F"/>
    <w:pPr>
      <w:widowControl w:val="0"/>
      <w:suppressAutoHyphens/>
    </w:pPr>
    <w:rPr>
      <w:rFonts w:eastAsia="Andale Sans UI;Arial Unicode M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rsid w:val="006F170F"/>
  </w:style>
  <w:style w:type="character" w:customStyle="1" w:styleId="Aufzhlungszeichen1">
    <w:name w:val="Aufzählungszeichen1"/>
    <w:rsid w:val="006F170F"/>
    <w:rPr>
      <w:rFonts w:ascii="StarSymbol;Arial Unicode MS" w:eastAsia="StarSymbol;Arial Unicode MS" w:hAnsi="StarSymbol;Arial Unicode MS" w:cs="StarSymbol;Arial Unicode MS"/>
      <w:sz w:val="18"/>
      <w:szCs w:val="18"/>
    </w:rPr>
  </w:style>
  <w:style w:type="character" w:customStyle="1" w:styleId="WW-Absatz-Standardschriftart">
    <w:name w:val="WW-Absatz-Standardschriftart"/>
    <w:rsid w:val="006F170F"/>
  </w:style>
  <w:style w:type="paragraph" w:styleId="Textkrper">
    <w:name w:val="Body Text"/>
    <w:basedOn w:val="Standard"/>
    <w:rsid w:val="006F170F"/>
    <w:pPr>
      <w:spacing w:after="120"/>
    </w:pPr>
  </w:style>
  <w:style w:type="paragraph" w:styleId="Liste">
    <w:name w:val="List"/>
    <w:basedOn w:val="Textkrper"/>
    <w:rsid w:val="006F170F"/>
  </w:style>
  <w:style w:type="paragraph" w:styleId="Beschriftung">
    <w:name w:val="caption"/>
    <w:basedOn w:val="Standard"/>
    <w:rsid w:val="006F170F"/>
    <w:pPr>
      <w:suppressLineNumbers/>
      <w:spacing w:before="120" w:after="120"/>
    </w:pPr>
    <w:rPr>
      <w:i/>
      <w:iCs/>
      <w:sz w:val="20"/>
      <w:szCs w:val="20"/>
    </w:rPr>
  </w:style>
  <w:style w:type="paragraph" w:customStyle="1" w:styleId="Rahmeninhalt">
    <w:name w:val="Rahmeninhalt"/>
    <w:basedOn w:val="Textkrper"/>
    <w:rsid w:val="006F170F"/>
  </w:style>
  <w:style w:type="paragraph" w:customStyle="1" w:styleId="Verzeichnis">
    <w:name w:val="Verzeichnis"/>
    <w:basedOn w:val="Standard"/>
    <w:rsid w:val="006F170F"/>
    <w:pPr>
      <w:suppressLineNumbers/>
    </w:pPr>
  </w:style>
  <w:style w:type="paragraph" w:styleId="Fuzeile">
    <w:name w:val="footer"/>
    <w:basedOn w:val="Standard"/>
    <w:rsid w:val="006F170F"/>
    <w:pPr>
      <w:suppressLineNumbers/>
      <w:tabs>
        <w:tab w:val="center" w:pos="5149"/>
        <w:tab w:val="right" w:pos="10299"/>
      </w:tabs>
    </w:pPr>
  </w:style>
  <w:style w:type="paragraph" w:styleId="Kopfzeile">
    <w:name w:val="header"/>
    <w:basedOn w:val="Standard"/>
    <w:link w:val="KopfzeileZchn"/>
    <w:uiPriority w:val="99"/>
    <w:semiHidden/>
    <w:unhideWhenUsed/>
    <w:rsid w:val="007F4261"/>
    <w:pPr>
      <w:tabs>
        <w:tab w:val="center" w:pos="4536"/>
        <w:tab w:val="right" w:pos="9072"/>
      </w:tabs>
    </w:pPr>
  </w:style>
  <w:style w:type="character" w:customStyle="1" w:styleId="KopfzeileZchn">
    <w:name w:val="Kopfzeile Zchn"/>
    <w:basedOn w:val="Absatz-Standardschriftart"/>
    <w:link w:val="Kopfzeile"/>
    <w:uiPriority w:val="99"/>
    <w:semiHidden/>
    <w:rsid w:val="007F4261"/>
    <w:rPr>
      <w:rFonts w:eastAsia="Andale Sans UI;Arial Unicode MS"/>
      <w:sz w:val="24"/>
    </w:rPr>
  </w:style>
  <w:style w:type="character" w:styleId="Hyperlink">
    <w:name w:val="Hyperlink"/>
    <w:basedOn w:val="Absatz-Standardschriftart"/>
    <w:uiPriority w:val="99"/>
    <w:unhideWhenUsed/>
    <w:rsid w:val="0092693C"/>
    <w:rPr>
      <w:color w:val="0000FF" w:themeColor="hyperlink"/>
      <w:u w:val="single"/>
    </w:rPr>
  </w:style>
  <w:style w:type="table" w:styleId="Tabellengitternetz">
    <w:name w:val="Table Grid"/>
    <w:basedOn w:val="NormaleTabelle"/>
    <w:uiPriority w:val="59"/>
    <w:rsid w:val="00B168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9636EE"/>
    <w:rPr>
      <w:rFonts w:ascii="Tahoma" w:hAnsi="Tahoma"/>
      <w:sz w:val="16"/>
      <w:szCs w:val="16"/>
    </w:rPr>
  </w:style>
  <w:style w:type="character" w:customStyle="1" w:styleId="SprechblasentextZchn">
    <w:name w:val="Sprechblasentext Zchn"/>
    <w:basedOn w:val="Absatz-Standardschriftart"/>
    <w:link w:val="Sprechblasentext"/>
    <w:uiPriority w:val="99"/>
    <w:semiHidden/>
    <w:rsid w:val="009636EE"/>
    <w:rPr>
      <w:rFonts w:ascii="Tahoma" w:eastAsia="Andale Sans UI;Arial Unicode MS" w:hAnsi="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nfo@www.vesf-ev.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2369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Dietz</dc:creator>
  <cp:lastModifiedBy>Jutta Dietz</cp:lastModifiedBy>
  <cp:revision>4</cp:revision>
  <cp:lastPrinted>2014-12-19T15:01:00Z</cp:lastPrinted>
  <dcterms:created xsi:type="dcterms:W3CDTF">2015-01-09T12:41:00Z</dcterms:created>
  <dcterms:modified xsi:type="dcterms:W3CDTF">2015-01-09T12:46:00Z</dcterms:modified>
  <dc:language>de-DE</dc:language>
</cp:coreProperties>
</file>